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1A1C63C"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5970AB">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 xml:space="preserve">nts </w:t>
      </w:r>
      <w:r w:rsidR="005970AB">
        <w:rPr>
          <w:rFonts w:asciiTheme="majorHAnsi" w:hAnsiTheme="majorHAnsi" w:cstheme="majorHAnsi"/>
          <w:sz w:val="20"/>
          <w:szCs w:val="20"/>
          <w:lang w:val="es-CO"/>
        </w:rPr>
        <w:t>Buenos Aires</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600A80"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4C12F0EA" w14:textId="7414D3DC"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Pr="00A1727C">
        <w:rPr>
          <w:rFonts w:asciiTheme="majorHAnsi" w:hAnsiTheme="majorHAnsi" w:cstheme="majorHAnsi"/>
          <w:b/>
          <w:bCs/>
          <w:color w:val="auto"/>
          <w:spacing w:val="2"/>
          <w:sz w:val="22"/>
          <w:szCs w:val="22"/>
        </w:rPr>
        <w:t xml:space="preserve">1: </w:t>
      </w:r>
      <w:r w:rsidR="00A1727C" w:rsidRPr="00A1727C">
        <w:rPr>
          <w:rFonts w:asciiTheme="majorHAnsi" w:hAnsiTheme="majorHAnsi" w:cstheme="majorHAnsi"/>
          <w:b/>
          <w:bCs/>
          <w:color w:val="auto"/>
          <w:spacing w:val="2"/>
          <w:sz w:val="22"/>
          <w:szCs w:val="22"/>
        </w:rPr>
        <w:t xml:space="preserve">ORIGEN- </w:t>
      </w:r>
      <w:r w:rsidRPr="00A1727C">
        <w:rPr>
          <w:rFonts w:asciiTheme="majorHAnsi" w:hAnsiTheme="majorHAnsi" w:cstheme="majorHAnsi"/>
          <w:b/>
          <w:bCs/>
          <w:color w:val="auto"/>
          <w:spacing w:val="2"/>
          <w:sz w:val="22"/>
          <w:szCs w:val="22"/>
        </w:rPr>
        <w:t>BUENOS AIRES</w:t>
      </w:r>
    </w:p>
    <w:p w14:paraId="35AB8B75" w14:textId="3BFD8025"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Arribo, asistencia y recepción por nuestro personal en el Aeropuerto y traslado al hotel seleccionado.</w:t>
      </w:r>
    </w:p>
    <w:p w14:paraId="1111CF83" w14:textId="77777777"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p>
    <w:p w14:paraId="5A486AE3" w14:textId="5DBFAB49"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Día 2:</w:t>
      </w:r>
      <w:r w:rsidRPr="00A1727C">
        <w:rPr>
          <w:rFonts w:asciiTheme="majorHAnsi" w:hAnsiTheme="majorHAnsi" w:cstheme="majorHAnsi"/>
          <w:b/>
          <w:bCs/>
          <w:color w:val="auto"/>
          <w:spacing w:val="2"/>
          <w:sz w:val="22"/>
          <w:szCs w:val="22"/>
        </w:rPr>
        <w:t xml:space="preserve"> BUENOS AIRES</w:t>
      </w:r>
      <w:r w:rsidR="00F0631D">
        <w:rPr>
          <w:rFonts w:asciiTheme="majorHAnsi" w:hAnsiTheme="majorHAnsi" w:cstheme="majorHAnsi"/>
          <w:b/>
          <w:bCs/>
          <w:color w:val="auto"/>
          <w:spacing w:val="2"/>
          <w:sz w:val="22"/>
          <w:szCs w:val="22"/>
        </w:rPr>
        <w:t xml:space="preserve">, HD CITY </w:t>
      </w:r>
    </w:p>
    <w:p w14:paraId="67A0710B" w14:textId="7F326499" w:rsidR="00F0631D" w:rsidRPr="00F0631D" w:rsidRDefault="00F0631D" w:rsidP="00F0631D">
      <w:pPr>
        <w:pStyle w:val="Ningnestilodeprrafo"/>
        <w:spacing w:line="192" w:lineRule="auto"/>
        <w:jc w:val="both"/>
        <w:rPr>
          <w:rFonts w:asciiTheme="majorHAnsi" w:hAnsiTheme="majorHAnsi" w:cstheme="majorHAnsi"/>
          <w:color w:val="auto"/>
          <w:spacing w:val="2"/>
          <w:sz w:val="22"/>
          <w:szCs w:val="22"/>
        </w:rPr>
      </w:pPr>
      <w:r w:rsidRPr="00F0631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F0631D">
        <w:rPr>
          <w:rFonts w:asciiTheme="majorHAnsi" w:hAnsiTheme="majorHAnsi" w:cstheme="majorHAnsi"/>
          <w:color w:val="auto"/>
          <w:spacing w:val="2"/>
          <w:sz w:val="22"/>
          <w:szCs w:val="22"/>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F0631D">
        <w:rPr>
          <w:rFonts w:asciiTheme="majorHAnsi" w:hAnsiTheme="majorHAnsi" w:cstheme="majorHAnsi"/>
          <w:color w:val="auto"/>
          <w:spacing w:val="2"/>
          <w:sz w:val="22"/>
          <w:szCs w:val="22"/>
        </w:rPr>
        <w:t>Mayo</w:t>
      </w:r>
      <w:proofErr w:type="gramEnd"/>
      <w:r w:rsidRPr="00F0631D">
        <w:rPr>
          <w:rFonts w:asciiTheme="majorHAnsi" w:hAnsiTheme="majorHAnsi" w:cstheme="majorHAnsi"/>
          <w:color w:val="auto"/>
          <w:spacing w:val="2"/>
          <w:sz w:val="22"/>
          <w:szCs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p>
    <w:p w14:paraId="111DAF4E" w14:textId="77777777" w:rsidR="00F0631D" w:rsidRPr="00F0631D" w:rsidRDefault="00F0631D" w:rsidP="00F0631D">
      <w:pPr>
        <w:pStyle w:val="Ningnestilodeprrafo"/>
        <w:spacing w:line="192" w:lineRule="auto"/>
        <w:jc w:val="both"/>
        <w:rPr>
          <w:rFonts w:asciiTheme="majorHAnsi" w:hAnsiTheme="majorHAnsi" w:cstheme="majorHAnsi"/>
          <w:color w:val="auto"/>
          <w:spacing w:val="2"/>
          <w:sz w:val="22"/>
          <w:szCs w:val="22"/>
        </w:rPr>
      </w:pPr>
      <w:r w:rsidRPr="00F0631D">
        <w:rPr>
          <w:rFonts w:asciiTheme="majorHAnsi" w:hAnsiTheme="majorHAnsi" w:cstheme="majorHAnsi"/>
          <w:color w:val="auto"/>
          <w:spacing w:val="2"/>
          <w:sz w:val="22"/>
          <w:szCs w:val="22"/>
        </w:rPr>
        <w:t>Alojamiento</w:t>
      </w:r>
    </w:p>
    <w:p w14:paraId="2668F506"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p>
    <w:p w14:paraId="68AABBF0" w14:textId="3D09F9BE"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00A1727C" w:rsidRPr="00A1727C">
        <w:rPr>
          <w:rFonts w:asciiTheme="majorHAnsi" w:hAnsiTheme="majorHAnsi" w:cstheme="majorHAnsi"/>
          <w:b/>
          <w:bCs/>
          <w:color w:val="auto"/>
          <w:spacing w:val="2"/>
          <w:sz w:val="22"/>
          <w:szCs w:val="22"/>
        </w:rPr>
        <w:t>3: BUENOS AIRES</w:t>
      </w:r>
    </w:p>
    <w:p w14:paraId="78F8C62B"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Desayuno en el hotel.</w:t>
      </w:r>
    </w:p>
    <w:p w14:paraId="7AD7539B"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Día libre para actividades personales. Puede disfrutar de las múltiples actividades opcionales.</w:t>
      </w:r>
    </w:p>
    <w:p w14:paraId="31AF6868"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 xml:space="preserve">Alojamiento. </w:t>
      </w:r>
    </w:p>
    <w:p w14:paraId="31452471"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p>
    <w:p w14:paraId="7374B7B3" w14:textId="552F7C4C"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00A1727C" w:rsidRPr="00A1727C">
        <w:rPr>
          <w:rFonts w:asciiTheme="majorHAnsi" w:hAnsiTheme="majorHAnsi" w:cstheme="majorHAnsi"/>
          <w:b/>
          <w:bCs/>
          <w:color w:val="auto"/>
          <w:spacing w:val="2"/>
          <w:sz w:val="22"/>
          <w:szCs w:val="22"/>
        </w:rPr>
        <w:t>4: BUENOS AIRES - ORIGEN</w:t>
      </w:r>
    </w:p>
    <w:p w14:paraId="5FB855CC"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Desayuno en el hotel.</w:t>
      </w:r>
    </w:p>
    <w:p w14:paraId="3DA17F3B" w14:textId="6FEAA888" w:rsid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 xml:space="preserve">A la hora </w:t>
      </w:r>
      <w:r w:rsidR="00A1727C" w:rsidRPr="005970AB">
        <w:rPr>
          <w:rFonts w:asciiTheme="majorHAnsi" w:hAnsiTheme="majorHAnsi" w:cstheme="majorHAnsi"/>
          <w:color w:val="auto"/>
          <w:spacing w:val="2"/>
          <w:sz w:val="22"/>
          <w:szCs w:val="22"/>
        </w:rPr>
        <w:t>convenida traslado</w:t>
      </w:r>
      <w:r w:rsidRPr="005970AB">
        <w:rPr>
          <w:rFonts w:asciiTheme="majorHAnsi" w:hAnsiTheme="majorHAnsi" w:cstheme="majorHAnsi"/>
          <w:color w:val="auto"/>
          <w:spacing w:val="2"/>
          <w:sz w:val="22"/>
          <w:szCs w:val="22"/>
        </w:rPr>
        <w:t xml:space="preserve"> al aeropuerto </w:t>
      </w:r>
      <w:r w:rsidR="00C30BDC" w:rsidRPr="005970AB">
        <w:rPr>
          <w:rFonts w:asciiTheme="majorHAnsi" w:hAnsiTheme="majorHAnsi" w:cstheme="majorHAnsi"/>
          <w:color w:val="auto"/>
          <w:spacing w:val="2"/>
          <w:sz w:val="22"/>
          <w:szCs w:val="22"/>
        </w:rPr>
        <w:t>internacional para</w:t>
      </w:r>
      <w:r w:rsidRPr="005970AB">
        <w:rPr>
          <w:rFonts w:asciiTheme="majorHAnsi" w:hAnsiTheme="majorHAnsi" w:cstheme="majorHAnsi"/>
          <w:color w:val="auto"/>
          <w:spacing w:val="2"/>
          <w:sz w:val="22"/>
          <w:szCs w:val="22"/>
        </w:rPr>
        <w:t xml:space="preserve"> embarcar con destino a la ciudad de Origen</w:t>
      </w:r>
      <w:r w:rsidR="00C30BDC">
        <w:rPr>
          <w:rFonts w:asciiTheme="majorHAnsi" w:hAnsiTheme="majorHAnsi" w:cstheme="majorHAnsi"/>
          <w:color w:val="auto"/>
          <w:spacing w:val="2"/>
          <w:sz w:val="22"/>
          <w:szCs w:val="22"/>
        </w:rPr>
        <w:t>.</w:t>
      </w:r>
    </w:p>
    <w:p w14:paraId="08DA9C9E" w14:textId="77777777" w:rsidR="00C30BDC" w:rsidRDefault="00C30BDC" w:rsidP="005970AB">
      <w:pPr>
        <w:pStyle w:val="Ningnestilodeprrafo"/>
        <w:spacing w:line="192" w:lineRule="auto"/>
        <w:jc w:val="both"/>
        <w:rPr>
          <w:rFonts w:asciiTheme="majorHAnsi" w:hAnsiTheme="majorHAnsi" w:cstheme="majorHAnsi"/>
          <w:color w:val="auto"/>
          <w:spacing w:val="2"/>
          <w:sz w:val="22"/>
          <w:szCs w:val="22"/>
        </w:rPr>
      </w:pPr>
    </w:p>
    <w:p w14:paraId="1AC35B8F" w14:textId="77777777" w:rsidR="00C30BDC" w:rsidRPr="00C30BDC" w:rsidRDefault="00C30BDC"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7EDEF423"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p>
          <w:p w14:paraId="33D60C05" w14:textId="61820569" w:rsidR="00627F12" w:rsidRPr="00A1727C" w:rsidRDefault="00627F12" w:rsidP="00A1727C">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0</w:t>
            </w:r>
            <w:r w:rsidR="00A1727C">
              <w:rPr>
                <w:rFonts w:asciiTheme="majorHAnsi" w:hAnsiTheme="majorHAnsi" w:cstheme="majorHAnsi"/>
                <w:b w:val="0"/>
                <w:bCs w:val="0"/>
                <w:sz w:val="18"/>
                <w:szCs w:val="18"/>
              </w:rPr>
              <w:t>3</w:t>
            </w:r>
            <w:r w:rsidRPr="00627F12">
              <w:rPr>
                <w:rFonts w:asciiTheme="majorHAnsi" w:hAnsiTheme="majorHAnsi" w:cstheme="majorHAnsi"/>
                <w:b w:val="0"/>
                <w:bCs w:val="0"/>
                <w:sz w:val="18"/>
                <w:szCs w:val="18"/>
              </w:rPr>
              <w:t xml:space="preserve"> noches de alojamiento en </w:t>
            </w:r>
            <w:r w:rsidR="00A1727C">
              <w:rPr>
                <w:rFonts w:asciiTheme="majorHAnsi" w:hAnsiTheme="majorHAnsi" w:cstheme="majorHAnsi"/>
                <w:b w:val="0"/>
                <w:bCs w:val="0"/>
                <w:sz w:val="18"/>
                <w:szCs w:val="18"/>
              </w:rPr>
              <w:t>Buenos Aires</w:t>
            </w:r>
            <w:r w:rsidRPr="00627F12">
              <w:rPr>
                <w:rFonts w:asciiTheme="majorHAnsi" w:hAnsiTheme="majorHAnsi" w:cstheme="majorHAnsi"/>
                <w:b w:val="0"/>
                <w:bCs w:val="0"/>
                <w:sz w:val="18"/>
                <w:szCs w:val="18"/>
              </w:rPr>
              <w:t xml:space="preserve"> con desayunos.</w:t>
            </w:r>
          </w:p>
          <w:p w14:paraId="3597E59F" w14:textId="55FF13CD" w:rsidR="00627F12" w:rsidRPr="00627F12" w:rsidRDefault="00F0631D" w:rsidP="00627F12">
            <w:pPr>
              <w:numPr>
                <w:ilvl w:val="0"/>
                <w:numId w:val="3"/>
              </w:numPr>
              <w:jc w:val="both"/>
              <w:rPr>
                <w:rFonts w:asciiTheme="majorHAnsi" w:hAnsiTheme="majorHAnsi" w:cstheme="majorHAnsi"/>
                <w:b w:val="0"/>
                <w:bCs w:val="0"/>
                <w:sz w:val="18"/>
                <w:szCs w:val="18"/>
              </w:rPr>
            </w:pPr>
            <w:r>
              <w:rPr>
                <w:rFonts w:asciiTheme="majorHAnsi" w:hAnsiTheme="majorHAnsi" w:cstheme="majorHAnsi"/>
                <w:b w:val="0"/>
                <w:bCs w:val="0"/>
                <w:sz w:val="18"/>
                <w:szCs w:val="18"/>
              </w:rPr>
              <w:t xml:space="preserve">HD </w:t>
            </w:r>
            <w:r w:rsidR="00627F12" w:rsidRPr="00627F12">
              <w:rPr>
                <w:rFonts w:asciiTheme="majorHAnsi" w:hAnsiTheme="majorHAnsi" w:cstheme="majorHAnsi"/>
                <w:b w:val="0"/>
                <w:bCs w:val="0"/>
                <w:sz w:val="18"/>
                <w:szCs w:val="18"/>
              </w:rPr>
              <w:t xml:space="preserve">City Tour </w:t>
            </w:r>
            <w:r w:rsidR="00A1727C">
              <w:rPr>
                <w:rFonts w:asciiTheme="majorHAnsi" w:hAnsiTheme="majorHAnsi" w:cstheme="majorHAnsi"/>
                <w:b w:val="0"/>
                <w:bCs w:val="0"/>
                <w:sz w:val="18"/>
                <w:szCs w:val="18"/>
              </w:rPr>
              <w:t>ciudad</w:t>
            </w:r>
          </w:p>
          <w:p w14:paraId="6FEDA50A" w14:textId="77777777" w:rsidR="00F41972" w:rsidRPr="00025167" w:rsidRDefault="00F41972" w:rsidP="00A1727C">
            <w:pPr>
              <w:ind w:left="36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5548BF0C" w14:textId="77777777" w:rsidR="00627F12" w:rsidRDefault="00627F12" w:rsidP="00D33F0D">
      <w:pPr>
        <w:ind w:left="141"/>
        <w:rPr>
          <w:rFonts w:asciiTheme="majorHAnsi" w:hAnsiTheme="majorHAnsi" w:cstheme="majorHAnsi"/>
          <w:color w:val="EE0000"/>
          <w:sz w:val="20"/>
          <w:szCs w:val="20"/>
        </w:rPr>
      </w:pPr>
    </w:p>
    <w:p w14:paraId="48A195E6" w14:textId="77777777" w:rsidR="00627F12" w:rsidRDefault="00627F12" w:rsidP="00D33F0D">
      <w:pPr>
        <w:ind w:left="141"/>
        <w:rPr>
          <w:rFonts w:asciiTheme="majorHAnsi" w:hAnsiTheme="majorHAnsi" w:cstheme="majorHAnsi"/>
          <w:color w:val="EE0000"/>
          <w:sz w:val="20"/>
          <w:szCs w:val="20"/>
        </w:rPr>
      </w:pPr>
    </w:p>
    <w:p w14:paraId="7BCD19E8" w14:textId="77777777" w:rsidR="00627F12" w:rsidRDefault="00627F12" w:rsidP="00D33F0D">
      <w:pPr>
        <w:ind w:left="141"/>
        <w:rPr>
          <w:rFonts w:asciiTheme="majorHAnsi" w:hAnsiTheme="majorHAnsi" w:cstheme="majorHAnsi"/>
          <w:color w:val="EE0000"/>
          <w:sz w:val="20"/>
          <w:szCs w:val="20"/>
        </w:rPr>
      </w:pPr>
    </w:p>
    <w:p w14:paraId="35650B0F" w14:textId="3855F610" w:rsidR="00793915" w:rsidRDefault="00793915" w:rsidP="00A1727C">
      <w:pPr>
        <w:ind w:left="141"/>
        <w:rPr>
          <w:rFonts w:asciiTheme="majorHAnsi" w:hAnsiTheme="majorHAnsi" w:cstheme="majorHAnsi"/>
          <w:sz w:val="20"/>
          <w:szCs w:val="20"/>
        </w:rPr>
      </w:pPr>
    </w:p>
    <w:p w14:paraId="7034152E" w14:textId="77777777" w:rsidR="00A1727C" w:rsidRDefault="00A1727C" w:rsidP="00A1727C">
      <w:pPr>
        <w:ind w:left="141"/>
        <w:rPr>
          <w:rFonts w:asciiTheme="majorHAnsi" w:hAnsiTheme="majorHAnsi" w:cstheme="majorHAnsi"/>
          <w:sz w:val="20"/>
          <w:szCs w:val="20"/>
        </w:rPr>
      </w:pPr>
    </w:p>
    <w:p w14:paraId="1C063B00" w14:textId="77777777" w:rsidR="00A1727C" w:rsidRDefault="00A1727C" w:rsidP="00A1727C">
      <w:pPr>
        <w:ind w:left="141"/>
        <w:rPr>
          <w:rFonts w:asciiTheme="majorHAnsi" w:hAnsiTheme="majorHAnsi" w:cstheme="majorHAnsi"/>
          <w:sz w:val="20"/>
          <w:szCs w:val="20"/>
        </w:rPr>
      </w:pPr>
    </w:p>
    <w:p w14:paraId="71D287B4" w14:textId="77777777" w:rsidR="00A1727C" w:rsidRDefault="00A1727C" w:rsidP="00A1727C">
      <w:pPr>
        <w:ind w:left="141"/>
        <w:rPr>
          <w:rFonts w:asciiTheme="majorHAnsi" w:hAnsiTheme="majorHAnsi" w:cstheme="majorHAnsi"/>
          <w:sz w:val="20"/>
          <w:szCs w:val="20"/>
        </w:rPr>
      </w:pPr>
    </w:p>
    <w:p w14:paraId="6B56FB3E" w14:textId="77777777" w:rsidR="00A1727C" w:rsidRDefault="00A1727C" w:rsidP="00A1727C">
      <w:pPr>
        <w:ind w:left="141"/>
        <w:rPr>
          <w:rFonts w:asciiTheme="majorHAnsi" w:hAnsiTheme="majorHAnsi" w:cstheme="majorHAnsi"/>
          <w:sz w:val="20"/>
          <w:szCs w:val="20"/>
        </w:rPr>
      </w:pPr>
    </w:p>
    <w:p w14:paraId="04564C37" w14:textId="77777777" w:rsidR="00A1727C" w:rsidRDefault="00A1727C" w:rsidP="00A1727C">
      <w:pPr>
        <w:ind w:left="141"/>
        <w:rPr>
          <w:rFonts w:asciiTheme="majorHAnsi" w:hAnsiTheme="majorHAnsi" w:cstheme="majorHAnsi"/>
          <w:sz w:val="20"/>
          <w:szCs w:val="20"/>
        </w:rPr>
      </w:pPr>
    </w:p>
    <w:p w14:paraId="606EBDE2" w14:textId="77777777" w:rsidR="00A1727C" w:rsidRDefault="00A1727C" w:rsidP="00A1727C">
      <w:pPr>
        <w:ind w:left="141"/>
        <w:rPr>
          <w:rFonts w:asciiTheme="majorHAnsi" w:hAnsiTheme="majorHAnsi" w:cstheme="majorHAnsi"/>
          <w:sz w:val="20"/>
          <w:szCs w:val="20"/>
        </w:rPr>
      </w:pPr>
    </w:p>
    <w:p w14:paraId="66AF0522" w14:textId="77777777" w:rsidR="00A1727C" w:rsidRDefault="00A1727C" w:rsidP="00A1727C">
      <w:pPr>
        <w:ind w:left="141"/>
        <w:rPr>
          <w:rFonts w:asciiTheme="majorHAnsi" w:hAnsiTheme="majorHAnsi" w:cstheme="majorHAnsi"/>
          <w:sz w:val="20"/>
          <w:szCs w:val="20"/>
        </w:rPr>
      </w:pPr>
    </w:p>
    <w:p w14:paraId="2F21D820" w14:textId="77777777" w:rsidR="00A1727C" w:rsidRDefault="00A1727C" w:rsidP="00A1727C">
      <w:pPr>
        <w:ind w:left="141"/>
        <w:rPr>
          <w:rFonts w:asciiTheme="majorHAnsi" w:hAnsiTheme="majorHAnsi" w:cstheme="majorHAnsi"/>
          <w:sz w:val="20"/>
          <w:szCs w:val="20"/>
        </w:rPr>
      </w:pPr>
    </w:p>
    <w:p w14:paraId="320812D2" w14:textId="77777777" w:rsidR="00A1727C" w:rsidRDefault="00A1727C" w:rsidP="00A1727C">
      <w:pPr>
        <w:ind w:left="141"/>
        <w:rPr>
          <w:rFonts w:asciiTheme="majorHAnsi" w:hAnsiTheme="majorHAnsi" w:cstheme="majorHAnsi"/>
          <w:sz w:val="20"/>
          <w:szCs w:val="20"/>
        </w:rPr>
      </w:pPr>
    </w:p>
    <w:p w14:paraId="39EC302E" w14:textId="77777777" w:rsidR="00A1727C" w:rsidRDefault="00A1727C" w:rsidP="00A1727C">
      <w:pPr>
        <w:ind w:left="141"/>
        <w:rPr>
          <w:rFonts w:asciiTheme="majorHAnsi" w:hAnsiTheme="majorHAnsi" w:cstheme="majorHAnsi"/>
          <w:sz w:val="20"/>
          <w:szCs w:val="20"/>
        </w:rPr>
      </w:pPr>
    </w:p>
    <w:p w14:paraId="0610CF2E" w14:textId="77777777" w:rsidR="00A1727C" w:rsidRDefault="00A1727C" w:rsidP="00A1727C">
      <w:pPr>
        <w:ind w:left="141"/>
        <w:rPr>
          <w:rFonts w:asciiTheme="majorHAnsi" w:hAnsiTheme="majorHAnsi" w:cstheme="majorHAnsi"/>
          <w:sz w:val="20"/>
          <w:szCs w:val="20"/>
        </w:rPr>
      </w:pPr>
    </w:p>
    <w:p w14:paraId="758B9055" w14:textId="77777777" w:rsidR="00A1727C" w:rsidRDefault="00A1727C" w:rsidP="00A1727C">
      <w:pPr>
        <w:ind w:left="141"/>
        <w:rPr>
          <w:rFonts w:asciiTheme="majorHAnsi" w:hAnsiTheme="majorHAnsi" w:cstheme="majorHAnsi"/>
          <w:sz w:val="20"/>
          <w:szCs w:val="20"/>
        </w:rPr>
      </w:pPr>
    </w:p>
    <w:p w14:paraId="083C3D50" w14:textId="77777777" w:rsidR="00A1727C" w:rsidRDefault="00A1727C" w:rsidP="00A1727C">
      <w:pPr>
        <w:ind w:left="141"/>
        <w:rPr>
          <w:rFonts w:asciiTheme="majorHAnsi" w:hAnsiTheme="majorHAnsi" w:cstheme="majorHAnsi"/>
          <w:sz w:val="20"/>
          <w:szCs w:val="20"/>
        </w:rPr>
      </w:pPr>
    </w:p>
    <w:p w14:paraId="100CFAA1" w14:textId="77777777" w:rsidR="00A1727C" w:rsidRPr="00A1727C" w:rsidRDefault="00A1727C" w:rsidP="00A1727C">
      <w:pPr>
        <w:ind w:left="141"/>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 xml:space="preserve">En caso de requerir el programa sin tiquete aéreo, es indispensable indicar si su vuelo llega o sale por el aeropuerto EZE (Aeropuerto Internacional </w:t>
      </w:r>
      <w:proofErr w:type="gramStart"/>
      <w:r w:rsidRPr="00CF67D2">
        <w:rPr>
          <w:rFonts w:asciiTheme="majorHAnsi" w:hAnsiTheme="majorHAnsi" w:cstheme="majorHAnsi"/>
          <w:b/>
          <w:bCs/>
          <w:color w:val="009900"/>
          <w:w w:val="90"/>
          <w:sz w:val="28"/>
          <w:szCs w:val="28"/>
        </w:rPr>
        <w:t>Ministro</w:t>
      </w:r>
      <w:proofErr w:type="gramEnd"/>
      <w:r w:rsidRPr="00CF67D2">
        <w:rPr>
          <w:rFonts w:asciiTheme="majorHAnsi" w:hAnsiTheme="majorHAnsi" w:cstheme="majorHAnsi"/>
          <w:b/>
          <w:bCs/>
          <w:color w:val="009900"/>
          <w:w w:val="90"/>
          <w:sz w:val="28"/>
          <w:szCs w:val="28"/>
        </w:rPr>
        <w:t xml:space="preserve">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8CC1BAA"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3330D55"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0F3F63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C6C77B9"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CE770E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5326C7"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32D68304" w14:textId="77777777" w:rsidR="001C790A" w:rsidRDefault="001C790A"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31434B9" w14:textId="77777777" w:rsidR="001C790A" w:rsidRDefault="001C790A"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E435CF8"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7DCB52F"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A306198"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2751130"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6BD9EDA"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35FF33E7"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DD6BB29"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8589" w14:textId="77777777" w:rsidR="001E3602" w:rsidRDefault="001E3602" w:rsidP="0063219A">
      <w:r>
        <w:separator/>
      </w:r>
    </w:p>
  </w:endnote>
  <w:endnote w:type="continuationSeparator" w:id="0">
    <w:p w14:paraId="2AE029F1" w14:textId="77777777" w:rsidR="001E3602" w:rsidRDefault="001E3602"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04A7" w14:textId="77777777" w:rsidR="001E3602" w:rsidRDefault="001E3602" w:rsidP="0063219A">
      <w:r>
        <w:separator/>
      </w:r>
    </w:p>
  </w:footnote>
  <w:footnote w:type="continuationSeparator" w:id="0">
    <w:p w14:paraId="462A6D5A" w14:textId="77777777" w:rsidR="001E3602" w:rsidRDefault="001E3602"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5E993F5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30BDC">
                            <w:rPr>
                              <w:rFonts w:ascii="Verdana" w:eastAsia="Verdana" w:hAnsi="Verdana" w:cs="Verdana"/>
                              <w:b/>
                              <w:bCs/>
                              <w:color w:val="FFFFFF" w:themeColor="background1"/>
                              <w:kern w:val="24"/>
                              <w:sz w:val="40"/>
                              <w:szCs w:val="40"/>
                              <w:lang w:val="es-CO"/>
                            </w:rPr>
                            <w:t>2</w:t>
                          </w:r>
                          <w:r w:rsidR="00F0631D">
                            <w:rPr>
                              <w:rFonts w:ascii="Verdana" w:eastAsia="Verdana" w:hAnsi="Verdana" w:cs="Verdana"/>
                              <w:b/>
                              <w:bCs/>
                              <w:color w:val="FFFFFF" w:themeColor="background1"/>
                              <w:kern w:val="24"/>
                              <w:sz w:val="40"/>
                              <w:szCs w:val="40"/>
                              <w:lang w:val="es-CO"/>
                            </w:rPr>
                            <w:t>6</w:t>
                          </w:r>
                          <w:r w:rsidR="00C30BDC">
                            <w:rPr>
                              <w:rFonts w:ascii="Verdana" w:eastAsia="Verdana" w:hAnsi="Verdana" w:cs="Verdana"/>
                              <w:b/>
                              <w:bCs/>
                              <w:color w:val="FFFFFF" w:themeColor="background1"/>
                              <w:kern w:val="24"/>
                              <w:sz w:val="40"/>
                              <w:szCs w:val="40"/>
                              <w:lang w:val="es-CO"/>
                            </w:rPr>
                            <w:t>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5E993F5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30BDC">
                      <w:rPr>
                        <w:rFonts w:ascii="Verdana" w:eastAsia="Verdana" w:hAnsi="Verdana" w:cs="Verdana"/>
                        <w:b/>
                        <w:bCs/>
                        <w:color w:val="FFFFFF" w:themeColor="background1"/>
                        <w:kern w:val="24"/>
                        <w:sz w:val="40"/>
                        <w:szCs w:val="40"/>
                        <w:lang w:val="es-CO"/>
                      </w:rPr>
                      <w:t>2</w:t>
                    </w:r>
                    <w:r w:rsidR="00F0631D">
                      <w:rPr>
                        <w:rFonts w:ascii="Verdana" w:eastAsia="Verdana" w:hAnsi="Verdana" w:cs="Verdana"/>
                        <w:b/>
                        <w:bCs/>
                        <w:color w:val="FFFFFF" w:themeColor="background1"/>
                        <w:kern w:val="24"/>
                        <w:sz w:val="40"/>
                        <w:szCs w:val="40"/>
                        <w:lang w:val="es-CO"/>
                      </w:rPr>
                      <w:t>6</w:t>
                    </w:r>
                    <w:r w:rsidR="00C30BDC">
                      <w:rPr>
                        <w:rFonts w:ascii="Verdana" w:eastAsia="Verdana" w:hAnsi="Verdana" w:cs="Verdana"/>
                        <w:b/>
                        <w:bCs/>
                        <w:color w:val="FFFFFF" w:themeColor="background1"/>
                        <w:kern w:val="24"/>
                        <w:sz w:val="40"/>
                        <w:szCs w:val="40"/>
                        <w:lang w:val="es-CO"/>
                      </w:rPr>
                      <w:t>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1CFC14B6"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F0631D">
                            <w:rPr>
                              <w:rFonts w:ascii="Bahnschrift" w:eastAsia="Verdana" w:hAnsi="Bahnschrift" w:cs="Verdana"/>
                              <w:b/>
                              <w:bCs/>
                              <w:color w:val="FFFFFF" w:themeColor="background1"/>
                              <w:kern w:val="24"/>
                              <w:sz w:val="40"/>
                              <w:szCs w:val="40"/>
                              <w:lang w:val="es-CO"/>
                            </w:rPr>
                            <w:t>CLASICO</w:t>
                          </w:r>
                          <w:r>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1CFC14B6"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F0631D">
                      <w:rPr>
                        <w:rFonts w:ascii="Bahnschrift" w:eastAsia="Verdana" w:hAnsi="Bahnschrift" w:cs="Verdana"/>
                        <w:b/>
                        <w:bCs/>
                        <w:color w:val="FFFFFF" w:themeColor="background1"/>
                        <w:kern w:val="24"/>
                        <w:sz w:val="40"/>
                        <w:szCs w:val="40"/>
                        <w:lang w:val="es-CO"/>
                      </w:rPr>
                      <w:t>CLASICO</w:t>
                    </w:r>
                    <w:r>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AE5E9D2" w:rsidR="0063219A" w:rsidRPr="00E30891" w:rsidRDefault="005970A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AE5E9D2" w:rsidR="0063219A" w:rsidRPr="00E30891" w:rsidRDefault="005970A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1E3602"/>
    <w:rsid w:val="00213F6D"/>
    <w:rsid w:val="0021700A"/>
    <w:rsid w:val="0023133F"/>
    <w:rsid w:val="00295EA4"/>
    <w:rsid w:val="002C4D76"/>
    <w:rsid w:val="002D2A66"/>
    <w:rsid w:val="00304147"/>
    <w:rsid w:val="00304FB3"/>
    <w:rsid w:val="0032154E"/>
    <w:rsid w:val="00372633"/>
    <w:rsid w:val="00391FC2"/>
    <w:rsid w:val="003B4561"/>
    <w:rsid w:val="003C745F"/>
    <w:rsid w:val="003D6534"/>
    <w:rsid w:val="003E76EC"/>
    <w:rsid w:val="003F2F4B"/>
    <w:rsid w:val="004022BD"/>
    <w:rsid w:val="0041747E"/>
    <w:rsid w:val="0042671B"/>
    <w:rsid w:val="00436D54"/>
    <w:rsid w:val="00452907"/>
    <w:rsid w:val="00470DEA"/>
    <w:rsid w:val="00483DB1"/>
    <w:rsid w:val="00492D24"/>
    <w:rsid w:val="004A688D"/>
    <w:rsid w:val="004A6B72"/>
    <w:rsid w:val="004C1C27"/>
    <w:rsid w:val="004D6537"/>
    <w:rsid w:val="004E1929"/>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3E3B"/>
    <w:rsid w:val="00671BB0"/>
    <w:rsid w:val="006737CD"/>
    <w:rsid w:val="0068665D"/>
    <w:rsid w:val="006E54B7"/>
    <w:rsid w:val="006F3471"/>
    <w:rsid w:val="00714F92"/>
    <w:rsid w:val="00722D9B"/>
    <w:rsid w:val="00724807"/>
    <w:rsid w:val="00757745"/>
    <w:rsid w:val="007602E1"/>
    <w:rsid w:val="007700B4"/>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A1073"/>
    <w:rsid w:val="009A597C"/>
    <w:rsid w:val="009B0355"/>
    <w:rsid w:val="009B585E"/>
    <w:rsid w:val="009C7CAC"/>
    <w:rsid w:val="00A15B02"/>
    <w:rsid w:val="00A1727C"/>
    <w:rsid w:val="00A36508"/>
    <w:rsid w:val="00A57D77"/>
    <w:rsid w:val="00AB39D3"/>
    <w:rsid w:val="00AC6703"/>
    <w:rsid w:val="00AF5E1F"/>
    <w:rsid w:val="00B05A44"/>
    <w:rsid w:val="00B214B7"/>
    <w:rsid w:val="00B3656E"/>
    <w:rsid w:val="00B95092"/>
    <w:rsid w:val="00BC6948"/>
    <w:rsid w:val="00BD382B"/>
    <w:rsid w:val="00BD616D"/>
    <w:rsid w:val="00BD69F6"/>
    <w:rsid w:val="00BF63BE"/>
    <w:rsid w:val="00C0706F"/>
    <w:rsid w:val="00C30BDC"/>
    <w:rsid w:val="00C638B1"/>
    <w:rsid w:val="00C66512"/>
    <w:rsid w:val="00C74D50"/>
    <w:rsid w:val="00CA7342"/>
    <w:rsid w:val="00CB3B0A"/>
    <w:rsid w:val="00CB5B37"/>
    <w:rsid w:val="00CB6B4C"/>
    <w:rsid w:val="00CD0D99"/>
    <w:rsid w:val="00CE10A0"/>
    <w:rsid w:val="00CF67D2"/>
    <w:rsid w:val="00D110D7"/>
    <w:rsid w:val="00D33F0D"/>
    <w:rsid w:val="00D72DD2"/>
    <w:rsid w:val="00DB71B4"/>
    <w:rsid w:val="00E16F88"/>
    <w:rsid w:val="00E239D3"/>
    <w:rsid w:val="00E24E8A"/>
    <w:rsid w:val="00E30891"/>
    <w:rsid w:val="00E82C6D"/>
    <w:rsid w:val="00EA7DE7"/>
    <w:rsid w:val="00EC5720"/>
    <w:rsid w:val="00ED5968"/>
    <w:rsid w:val="00ED65B5"/>
    <w:rsid w:val="00F04DD2"/>
    <w:rsid w:val="00F0631D"/>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2166</Words>
  <Characters>11917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3</cp:revision>
  <dcterms:created xsi:type="dcterms:W3CDTF">2026-02-18T22:58:00Z</dcterms:created>
  <dcterms:modified xsi:type="dcterms:W3CDTF">2026-02-18T23:02:00Z</dcterms:modified>
</cp:coreProperties>
</file>