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1156F50F" w:rsidR="00103EFE" w:rsidRPr="00A55375" w:rsidRDefault="00736ED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POR CURAZAO VUELTA A LA ISLA</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1156F50F" w:rsidR="00103EFE" w:rsidRPr="00A55375" w:rsidRDefault="00736ED3"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TOUR POR CURAZAO VUELTA A LA ISLA</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A7755A9" w:rsidR="00CC6B90" w:rsidRPr="004C0C8C" w:rsidRDefault="00532F3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123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A7755A9" w:rsidR="00CC6B90" w:rsidRPr="004C0C8C" w:rsidRDefault="00532F3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123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64E90D8D" w:rsidR="00A1115A" w:rsidRPr="004C0C8C" w:rsidRDefault="00052A55" w:rsidP="00A1115A">
      <w:pPr>
        <w:ind w:left="-567"/>
        <w:rPr>
          <w:rFonts w:asciiTheme="minorBidi" w:hAnsiTheme="minorBidi"/>
          <w:b/>
          <w:bCs/>
          <w:sz w:val="20"/>
          <w:szCs w:val="20"/>
        </w:rPr>
      </w:pPr>
      <w:r>
        <w:rPr>
          <w:rFonts w:asciiTheme="minorBidi" w:hAnsiTheme="minorBidi"/>
          <w:b/>
          <w:bCs/>
          <w:sz w:val="20"/>
          <w:szCs w:val="20"/>
        </w:rPr>
        <w:t xml:space="preserve">Solo </w:t>
      </w:r>
      <w:r w:rsidR="00736ED3">
        <w:rPr>
          <w:rFonts w:asciiTheme="minorBidi" w:hAnsiTheme="minorBidi"/>
          <w:b/>
          <w:bCs/>
          <w:sz w:val="20"/>
          <w:szCs w:val="20"/>
        </w:rPr>
        <w:t xml:space="preserve">miércoles y viernes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5E79221B" w14:textId="77777777" w:rsidR="00736ED3" w:rsidRPr="00736ED3" w:rsidRDefault="00736ED3" w:rsidP="00736ED3">
      <w:pPr>
        <w:pStyle w:val="Sinespaciado"/>
        <w:rPr>
          <w:lang w:val="es-419"/>
        </w:rPr>
      </w:pPr>
      <w:r w:rsidRPr="00736ED3">
        <w:rPr>
          <w:lang w:val="es-419"/>
        </w:rPr>
        <w:t>7 horas.</w:t>
      </w:r>
    </w:p>
    <w:p w14:paraId="681E5107" w14:textId="77777777" w:rsidR="00736ED3" w:rsidRPr="00736ED3" w:rsidRDefault="00736ED3" w:rsidP="00736ED3">
      <w:pPr>
        <w:pStyle w:val="Sinespaciado"/>
        <w:rPr>
          <w:lang w:val="es-419"/>
        </w:rPr>
      </w:pPr>
      <w:r w:rsidRPr="00736ED3">
        <w:rPr>
          <w:lang w:val="es-419"/>
        </w:rPr>
        <w:t>Idioma</w:t>
      </w:r>
    </w:p>
    <w:p w14:paraId="6E1776F8" w14:textId="77777777" w:rsidR="00736ED3" w:rsidRPr="00736ED3" w:rsidRDefault="00736ED3" w:rsidP="00736ED3">
      <w:pPr>
        <w:pStyle w:val="Sinespaciado"/>
        <w:rPr>
          <w:lang w:val="es-419"/>
        </w:rPr>
      </w:pPr>
      <w:r w:rsidRPr="00736ED3">
        <w:rPr>
          <w:lang w:val="es-419"/>
        </w:rPr>
        <w:t>La actividad se realiza con un guía que habla inglés.</w:t>
      </w:r>
    </w:p>
    <w:p w14:paraId="153C0AD9" w14:textId="77777777" w:rsidR="00736ED3" w:rsidRPr="00736ED3" w:rsidRDefault="00736ED3" w:rsidP="00736ED3">
      <w:pPr>
        <w:pStyle w:val="Sinespaciado"/>
        <w:rPr>
          <w:lang w:val="es-419"/>
        </w:rPr>
      </w:pPr>
      <w:r w:rsidRPr="00736ED3">
        <w:rPr>
          <w:lang w:val="es-419"/>
        </w:rPr>
        <w:t>Incluido</w:t>
      </w:r>
    </w:p>
    <w:p w14:paraId="3B78D8F6" w14:textId="77777777" w:rsidR="00736ED3" w:rsidRPr="00736ED3" w:rsidRDefault="00736ED3" w:rsidP="00736ED3">
      <w:pPr>
        <w:pStyle w:val="Sinespaciado"/>
        <w:rPr>
          <w:lang w:val="es-419"/>
        </w:rPr>
      </w:pPr>
      <w:r w:rsidRPr="00736ED3">
        <w:rPr>
          <w:lang w:val="es-419"/>
        </w:rPr>
        <w:t>Recogida y traslado de regreso al hotel.</w:t>
      </w:r>
    </w:p>
    <w:p w14:paraId="26281CB3" w14:textId="77777777" w:rsidR="00736ED3" w:rsidRPr="00736ED3" w:rsidRDefault="00736ED3" w:rsidP="00736ED3">
      <w:pPr>
        <w:pStyle w:val="Sinespaciado"/>
        <w:rPr>
          <w:lang w:val="es-419"/>
        </w:rPr>
      </w:pPr>
      <w:r w:rsidRPr="00736ED3">
        <w:rPr>
          <w:lang w:val="es-419"/>
        </w:rPr>
        <w:t>Transporte en minibús.</w:t>
      </w:r>
    </w:p>
    <w:p w14:paraId="6BE1D5DE" w14:textId="77777777" w:rsidR="00736ED3" w:rsidRPr="00736ED3" w:rsidRDefault="00736ED3" w:rsidP="00736ED3">
      <w:pPr>
        <w:pStyle w:val="Sinespaciado"/>
        <w:rPr>
          <w:lang w:val="es-419"/>
        </w:rPr>
      </w:pPr>
      <w:r w:rsidRPr="00736ED3">
        <w:rPr>
          <w:lang w:val="es-419"/>
        </w:rPr>
        <w:t>Guía en inglés.</w:t>
      </w:r>
    </w:p>
    <w:p w14:paraId="51D6937E" w14:textId="77777777" w:rsidR="00736ED3" w:rsidRPr="00736ED3" w:rsidRDefault="00736ED3" w:rsidP="00736ED3">
      <w:pPr>
        <w:pStyle w:val="Sinespaciado"/>
        <w:rPr>
          <w:lang w:val="es-419"/>
        </w:rPr>
      </w:pPr>
      <w:r w:rsidRPr="00736ED3">
        <w:rPr>
          <w:lang w:val="es-419"/>
        </w:rPr>
        <w:t>Comida.</w:t>
      </w:r>
    </w:p>
    <w:p w14:paraId="2FE52DB4" w14:textId="77777777" w:rsidR="00736ED3" w:rsidRPr="00736ED3" w:rsidRDefault="00736ED3" w:rsidP="00736ED3">
      <w:pPr>
        <w:pStyle w:val="Sinespaciado"/>
        <w:rPr>
          <w:lang w:val="es-419"/>
        </w:rPr>
      </w:pPr>
      <w:r w:rsidRPr="00736ED3">
        <w:rPr>
          <w:lang w:val="es-419"/>
        </w:rPr>
        <w:t>Agua mineral.</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60ED7D1F" w14:textId="77777777" w:rsidR="00736ED3" w:rsidRPr="00736ED3" w:rsidRDefault="00736ED3" w:rsidP="00736ED3">
      <w:pPr>
        <w:jc w:val="both"/>
        <w:rPr>
          <w:lang w:val="es-419"/>
        </w:rPr>
      </w:pPr>
      <w:r w:rsidRPr="00736ED3">
        <w:rPr>
          <w:lang w:val="es-419"/>
        </w:rPr>
        <w:t>A la hora indicada, partiremos desde vuestro hotel para dar comienzo a este tour que nos llevará a recorrer los principales atractivos de la isla de Curazao. ¡Allá vamos! </w:t>
      </w:r>
    </w:p>
    <w:p w14:paraId="11E5F36B" w14:textId="77777777" w:rsidR="00736ED3" w:rsidRPr="00736ED3" w:rsidRDefault="00736ED3" w:rsidP="00736ED3">
      <w:pPr>
        <w:jc w:val="both"/>
        <w:rPr>
          <w:lang w:val="es-419"/>
        </w:rPr>
      </w:pPr>
      <w:r w:rsidRPr="00736ED3">
        <w:rPr>
          <w:lang w:val="es-419"/>
        </w:rPr>
        <w:t>Subiremos a un minibús para recorrer en primer lugar el barrio de Jan Thiel, desde donde tendréis unas privilegiadas vistas de la bahía de Caracas. Seguidamente, realizaremos una parada en una destilería de licor típico de Curazao. Allí aprenderemos cómo se elabora esta bebida y las características propias del licor azul. ¿Sabíais que se hace con las cortezas de una variedad de naranja amarga? </w:t>
      </w:r>
    </w:p>
    <w:p w14:paraId="3DB80B97" w14:textId="77777777" w:rsidR="00736ED3" w:rsidRPr="00736ED3" w:rsidRDefault="00736ED3" w:rsidP="00736ED3">
      <w:pPr>
        <w:jc w:val="both"/>
        <w:rPr>
          <w:lang w:val="es-419"/>
        </w:rPr>
      </w:pPr>
      <w:r w:rsidRPr="00736ED3">
        <w:rPr>
          <w:lang w:val="es-419"/>
        </w:rPr>
        <w:t xml:space="preserve">La siguiente parada la realizaremos en el barrio de </w:t>
      </w:r>
      <w:proofErr w:type="spellStart"/>
      <w:r w:rsidRPr="00736ED3">
        <w:rPr>
          <w:lang w:val="es-419"/>
        </w:rPr>
        <w:t>Scharloo</w:t>
      </w:r>
      <w:proofErr w:type="spellEnd"/>
      <w:r w:rsidRPr="00736ED3">
        <w:rPr>
          <w:lang w:val="es-419"/>
        </w:rPr>
        <w:t>, incluido en la lista del Patrimonio Mundial de la Unesco. Sin duda, un rincón ideal de Willemstad para haceros una foto junto a sus coloridos edificios en tonos pastel. </w:t>
      </w:r>
    </w:p>
    <w:p w14:paraId="58A170C7" w14:textId="77777777" w:rsidR="00736ED3" w:rsidRPr="00736ED3" w:rsidRDefault="00736ED3" w:rsidP="00736ED3">
      <w:pPr>
        <w:jc w:val="both"/>
        <w:rPr>
          <w:lang w:val="es-419"/>
        </w:rPr>
      </w:pPr>
      <w:r w:rsidRPr="00736ED3">
        <w:rPr>
          <w:lang w:val="es-419"/>
        </w:rPr>
        <w:t>Continuaremos el tour viajando hasta el Parque Nacional Shete Boka, famoso por su costa escarpada y su mar tempestuoso. Uno de los encantos de esta reserva natural es Boka Tabla, una cueva atestada por el viento del nordeste, que hace que las olas rompan con fuerza. ¡Un espectáculo de la naturaleza! </w:t>
      </w:r>
    </w:p>
    <w:p w14:paraId="447062BA" w14:textId="77777777" w:rsidR="00736ED3" w:rsidRPr="00736ED3" w:rsidRDefault="00736ED3" w:rsidP="00736ED3">
      <w:pPr>
        <w:jc w:val="both"/>
        <w:rPr>
          <w:lang w:val="es-419"/>
        </w:rPr>
      </w:pPr>
      <w:r w:rsidRPr="00736ED3">
        <w:rPr>
          <w:lang w:val="es-419"/>
        </w:rPr>
        <w:t>Después, tendremos la oportunidad de tomar unas magníficas instantáneas de </w:t>
      </w:r>
      <w:proofErr w:type="spellStart"/>
      <w:r w:rsidRPr="00736ED3">
        <w:rPr>
          <w:lang w:val="es-419"/>
        </w:rPr>
        <w:t>Knip</w:t>
      </w:r>
      <w:proofErr w:type="spellEnd"/>
      <w:r w:rsidRPr="00736ED3">
        <w:rPr>
          <w:lang w:val="es-419"/>
        </w:rPr>
        <w:t xml:space="preserve"> Beach. ¡Una de las playas más bonitas de Curazao! Por último, nos dirigiremos a las salinas de Jan Kok, donde quizá podamos avistar flamencos. Además, disfrutaremos de las vistas de un mirador desde el que se pueden admirar las colinas que rodean este enclave natural.</w:t>
      </w:r>
    </w:p>
    <w:p w14:paraId="26884AA5" w14:textId="77777777" w:rsidR="00736ED3" w:rsidRPr="00736ED3" w:rsidRDefault="00736ED3" w:rsidP="00736ED3">
      <w:pPr>
        <w:jc w:val="both"/>
        <w:rPr>
          <w:lang w:val="es-419"/>
        </w:rPr>
      </w:pPr>
      <w:r w:rsidRPr="00736ED3">
        <w:rPr>
          <w:lang w:val="es-419"/>
        </w:rPr>
        <w:t>Antes de volver al punto de partida, disfrutaréis de un completo almuerzo en un restaurante local. El menú incluye un plato principal con guarnición y bebida.</w:t>
      </w:r>
    </w:p>
    <w:p w14:paraId="55A463F2" w14:textId="77777777" w:rsidR="00736ED3" w:rsidRPr="00736ED3" w:rsidRDefault="00736ED3" w:rsidP="00736ED3">
      <w:pPr>
        <w:jc w:val="both"/>
        <w:rPr>
          <w:lang w:val="es-419"/>
        </w:rPr>
      </w:pPr>
      <w:r w:rsidRPr="00736ED3">
        <w:rPr>
          <w:lang w:val="es-419"/>
        </w:rPr>
        <w:t>Finalizaremos el tour regresando al punto de partida tras siete horas de recorrido. </w:t>
      </w:r>
    </w:p>
    <w:p w14:paraId="25276895" w14:textId="77777777" w:rsidR="00736ED3" w:rsidRDefault="00736ED3" w:rsidP="00736ED3">
      <w:pPr>
        <w:rPr>
          <w:lang w:val="es-419"/>
        </w:rPr>
      </w:pPr>
    </w:p>
    <w:p w14:paraId="0A04436C" w14:textId="77777777" w:rsidR="00736ED3" w:rsidRDefault="00736ED3" w:rsidP="00736ED3">
      <w:pPr>
        <w:rPr>
          <w:lang w:val="es-419"/>
        </w:rPr>
      </w:pPr>
    </w:p>
    <w:p w14:paraId="1E9B2A1C" w14:textId="73E3ECE7" w:rsidR="00736ED3" w:rsidRPr="00736ED3" w:rsidRDefault="00736ED3" w:rsidP="00736ED3">
      <w:pPr>
        <w:rPr>
          <w:b/>
          <w:bCs/>
          <w:lang w:val="es-419"/>
        </w:rPr>
      </w:pPr>
      <w:r w:rsidRPr="00736ED3">
        <w:rPr>
          <w:b/>
          <w:bCs/>
          <w:lang w:val="es-419"/>
        </w:rPr>
        <w:t>Recogida en el hotel</w:t>
      </w:r>
    </w:p>
    <w:p w14:paraId="41AB3CED" w14:textId="77777777" w:rsidR="00736ED3" w:rsidRPr="00736ED3" w:rsidRDefault="00736ED3" w:rsidP="00736ED3">
      <w:pPr>
        <w:rPr>
          <w:lang w:val="es-419"/>
        </w:rPr>
      </w:pPr>
      <w:r w:rsidRPr="00736ED3">
        <w:rPr>
          <w:lang w:val="es-419"/>
        </w:rPr>
        <w:t>El tour incluye la recogida en todos los hoteles de la isla, excepto aquellos que se encuentren en el lado oeste de Curazao. Si vuestro alojamiento se encuentra alejado, os indicaremos un punto de encuentro al que debéis acudir.</w:t>
      </w:r>
    </w:p>
    <w:p w14:paraId="614D383F" w14:textId="77777777" w:rsidR="00736ED3" w:rsidRPr="00736ED3" w:rsidRDefault="00736ED3" w:rsidP="00736ED3">
      <w:pPr>
        <w:rPr>
          <w:lang w:val="es-419"/>
        </w:rPr>
      </w:pPr>
      <w:r w:rsidRPr="00736ED3">
        <w:rPr>
          <w:lang w:val="es-419"/>
        </w:rPr>
        <w:t>A continuación, os indicamos los horarios de recogida en los diferentes hoteles:</w:t>
      </w:r>
    </w:p>
    <w:p w14:paraId="6A73B528" w14:textId="77777777" w:rsidR="00736ED3" w:rsidRPr="00736ED3" w:rsidRDefault="00736ED3" w:rsidP="00736ED3">
      <w:pPr>
        <w:numPr>
          <w:ilvl w:val="0"/>
          <w:numId w:val="39"/>
        </w:numPr>
        <w:rPr>
          <w:lang w:val="es-419"/>
        </w:rPr>
      </w:pPr>
      <w:r w:rsidRPr="00736ED3">
        <w:rPr>
          <w:lang w:val="es-419"/>
        </w:rPr>
        <w:t>7:45 horas: recogida en </w:t>
      </w:r>
      <w:proofErr w:type="spellStart"/>
      <w:r w:rsidRPr="00736ED3">
        <w:rPr>
          <w:lang w:val="es-419"/>
        </w:rPr>
        <w:t>Chogogo</w:t>
      </w:r>
      <w:proofErr w:type="spellEnd"/>
      <w:r w:rsidRPr="00736ED3">
        <w:rPr>
          <w:lang w:val="es-419"/>
        </w:rPr>
        <w:t xml:space="preserve"> Resort.</w:t>
      </w:r>
    </w:p>
    <w:p w14:paraId="73F9AB6D" w14:textId="77777777" w:rsidR="00736ED3" w:rsidRPr="00736ED3" w:rsidRDefault="00736ED3" w:rsidP="00736ED3">
      <w:pPr>
        <w:numPr>
          <w:ilvl w:val="0"/>
          <w:numId w:val="39"/>
        </w:numPr>
        <w:rPr>
          <w:lang w:val="es-419"/>
        </w:rPr>
      </w:pPr>
      <w:r w:rsidRPr="00736ED3">
        <w:rPr>
          <w:lang w:val="es-419"/>
        </w:rPr>
        <w:t>7:45 horas: recogida en Papagayo Beach Resort.</w:t>
      </w:r>
    </w:p>
    <w:p w14:paraId="4C326404" w14:textId="77777777" w:rsidR="00736ED3" w:rsidRPr="00736ED3" w:rsidRDefault="00736ED3" w:rsidP="00736ED3">
      <w:pPr>
        <w:numPr>
          <w:ilvl w:val="0"/>
          <w:numId w:val="39"/>
        </w:numPr>
        <w:rPr>
          <w:lang w:val="es-419"/>
        </w:rPr>
      </w:pPr>
      <w:r w:rsidRPr="00736ED3">
        <w:rPr>
          <w:lang w:val="es-419"/>
        </w:rPr>
        <w:t>7:45 horas: recogida en Livingstone Resort.</w:t>
      </w:r>
    </w:p>
    <w:p w14:paraId="4433CB30" w14:textId="77777777" w:rsidR="00736ED3" w:rsidRPr="00736ED3" w:rsidRDefault="00736ED3" w:rsidP="00736ED3">
      <w:pPr>
        <w:numPr>
          <w:ilvl w:val="0"/>
          <w:numId w:val="39"/>
        </w:numPr>
        <w:rPr>
          <w:lang w:val="es-419"/>
        </w:rPr>
      </w:pPr>
      <w:r w:rsidRPr="00736ED3">
        <w:rPr>
          <w:lang w:val="es-419"/>
        </w:rPr>
        <w:t>7:45 horas: recogida en Morena Resort.</w:t>
      </w:r>
    </w:p>
    <w:p w14:paraId="1206D332" w14:textId="77777777" w:rsidR="00736ED3" w:rsidRPr="00736ED3" w:rsidRDefault="00736ED3" w:rsidP="00736ED3">
      <w:pPr>
        <w:numPr>
          <w:ilvl w:val="0"/>
          <w:numId w:val="39"/>
        </w:numPr>
        <w:rPr>
          <w:lang w:val="es-419"/>
        </w:rPr>
      </w:pPr>
      <w:r w:rsidRPr="00736ED3">
        <w:rPr>
          <w:lang w:val="es-419"/>
        </w:rPr>
        <w:t>7:55 horas: recogida en </w:t>
      </w:r>
      <w:proofErr w:type="spellStart"/>
      <w:r w:rsidRPr="00736ED3">
        <w:rPr>
          <w:lang w:val="es-419"/>
        </w:rPr>
        <w:t>Curinjo</w:t>
      </w:r>
      <w:proofErr w:type="spellEnd"/>
      <w:r w:rsidRPr="00736ED3">
        <w:rPr>
          <w:lang w:val="es-419"/>
        </w:rPr>
        <w:t xml:space="preserve"> Holiday Resort.</w:t>
      </w:r>
    </w:p>
    <w:p w14:paraId="2AE0E814" w14:textId="77777777" w:rsidR="00736ED3" w:rsidRPr="00736ED3" w:rsidRDefault="00736ED3" w:rsidP="00736ED3">
      <w:pPr>
        <w:numPr>
          <w:ilvl w:val="0"/>
          <w:numId w:val="39"/>
        </w:numPr>
        <w:rPr>
          <w:lang w:val="es-419"/>
        </w:rPr>
      </w:pPr>
      <w:r w:rsidRPr="00736ED3">
        <w:rPr>
          <w:lang w:val="es-419"/>
        </w:rPr>
        <w:t xml:space="preserve">8:00 horas: recogida en Dolphin Suites </w:t>
      </w:r>
      <w:proofErr w:type="spellStart"/>
      <w:r w:rsidRPr="00736ED3">
        <w:rPr>
          <w:lang w:val="es-419"/>
        </w:rPr>
        <w:t>Curacao</w:t>
      </w:r>
      <w:proofErr w:type="spellEnd"/>
      <w:r w:rsidRPr="00736ED3">
        <w:rPr>
          <w:lang w:val="es-419"/>
        </w:rPr>
        <w:t>.</w:t>
      </w:r>
    </w:p>
    <w:p w14:paraId="1134029D" w14:textId="77777777" w:rsidR="00736ED3" w:rsidRPr="00736ED3" w:rsidRDefault="00736ED3" w:rsidP="00736ED3">
      <w:pPr>
        <w:numPr>
          <w:ilvl w:val="0"/>
          <w:numId w:val="39"/>
        </w:numPr>
        <w:rPr>
          <w:lang w:val="es-419"/>
        </w:rPr>
      </w:pPr>
      <w:r w:rsidRPr="00736ED3">
        <w:rPr>
          <w:lang w:val="es-419"/>
        </w:rPr>
        <w:t>8:00 horas: recogida en Lions Dive Beach Resort.</w:t>
      </w:r>
    </w:p>
    <w:p w14:paraId="1354EF1E" w14:textId="77777777" w:rsidR="00736ED3" w:rsidRPr="00736ED3" w:rsidRDefault="00736ED3" w:rsidP="00736ED3">
      <w:pPr>
        <w:numPr>
          <w:ilvl w:val="0"/>
          <w:numId w:val="39"/>
        </w:numPr>
        <w:rPr>
          <w:lang w:val="es-419"/>
        </w:rPr>
      </w:pPr>
      <w:r w:rsidRPr="00736ED3">
        <w:rPr>
          <w:lang w:val="es-419"/>
        </w:rPr>
        <w:t>8:00 horas: recogida en Bon Bini Seaside Resort.</w:t>
      </w:r>
    </w:p>
    <w:p w14:paraId="45801AC4" w14:textId="663A2D0F" w:rsidR="00052A55" w:rsidRPr="00736ED3" w:rsidRDefault="00736ED3" w:rsidP="00C008B5">
      <w:pPr>
        <w:numPr>
          <w:ilvl w:val="0"/>
          <w:numId w:val="39"/>
        </w:numPr>
        <w:rPr>
          <w:lang w:val="es-419"/>
        </w:rPr>
      </w:pPr>
      <w:r w:rsidRPr="00736ED3">
        <w:rPr>
          <w:lang w:val="es-419"/>
        </w:rPr>
        <w:t xml:space="preserve">8:00 horas: recogida en Van </w:t>
      </w:r>
      <w:proofErr w:type="spellStart"/>
      <w:r w:rsidRPr="00736ED3">
        <w:rPr>
          <w:lang w:val="es-419"/>
        </w:rPr>
        <w:t>der</w:t>
      </w:r>
      <w:proofErr w:type="spellEnd"/>
      <w:r w:rsidRPr="00736ED3">
        <w:rPr>
          <w:lang w:val="es-419"/>
        </w:rPr>
        <w:t xml:space="preserve"> Valk </w:t>
      </w:r>
      <w:proofErr w:type="spellStart"/>
      <w:r w:rsidRPr="00736ED3">
        <w:rPr>
          <w:lang w:val="es-419"/>
        </w:rPr>
        <w:t>Kontiki</w:t>
      </w:r>
      <w:proofErr w:type="spellEnd"/>
      <w:r w:rsidRPr="00736ED3">
        <w:rPr>
          <w:lang w:val="es-419"/>
        </w:rPr>
        <w:t xml:space="preserve"> Beach.</w:t>
      </w:r>
    </w:p>
    <w:p w14:paraId="4A67C23C" w14:textId="77777777" w:rsidR="00052A55" w:rsidRPr="00A55375" w:rsidRDefault="00052A55"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3284EE8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807" w:type="dxa"/>
          </w:tcPr>
          <w:p w14:paraId="729101FA" w14:textId="25289485"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052A55">
              <w:rPr>
                <w:rFonts w:ascii="Calibri" w:eastAsia="Times New Roman" w:hAnsi="Calibri" w:cs="Calibri"/>
                <w:i/>
                <w:iCs/>
                <w:color w:val="70AD47" w:themeColor="accent6"/>
                <w:lang w:eastAsia="es-CO"/>
              </w:rPr>
              <w:t>4</w:t>
            </w:r>
            <w:r>
              <w:rPr>
                <w:rFonts w:ascii="Calibri" w:eastAsia="Times New Roman" w:hAnsi="Calibri" w:cs="Calibri"/>
                <w:i/>
                <w:iCs/>
                <w:color w:val="70AD47" w:themeColor="accent6"/>
                <w:lang w:eastAsia="es-CO"/>
              </w:rPr>
              <w:t>-</w:t>
            </w:r>
            <w:r w:rsidR="00940904">
              <w:rPr>
                <w:rFonts w:ascii="Calibri" w:eastAsia="Times New Roman" w:hAnsi="Calibri" w:cs="Calibri"/>
                <w:i/>
                <w:iCs/>
                <w:color w:val="70AD47" w:themeColor="accent6"/>
                <w:lang w:eastAsia="es-CO"/>
              </w:rPr>
              <w:t>11</w:t>
            </w:r>
            <w:r>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B28680E" w:rsidR="002431BA" w:rsidRPr="004C0C8C" w:rsidRDefault="00052A55"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65D8E93A"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40904">
              <w:rPr>
                <w:rFonts w:ascii="Calibri" w:eastAsia="Times New Roman" w:hAnsi="Calibri" w:cs="Calibri"/>
                <w:color w:val="000000"/>
                <w:lang w:eastAsia="es-CO"/>
              </w:rPr>
              <w:t>123</w:t>
            </w:r>
          </w:p>
        </w:tc>
        <w:tc>
          <w:tcPr>
            <w:tcW w:w="1807" w:type="dxa"/>
          </w:tcPr>
          <w:p w14:paraId="3A47C011" w14:textId="5E04A636"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40904">
              <w:rPr>
                <w:rFonts w:ascii="Calibri" w:eastAsia="Times New Roman" w:hAnsi="Calibri" w:cs="Calibri"/>
                <w:color w:val="000000"/>
                <w:lang w:eastAsia="es-CO"/>
              </w:rPr>
              <w:t>76</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4FA2C195" w:rsidR="0037653D" w:rsidRPr="004C0C8C" w:rsidRDefault="0037653D" w:rsidP="00480465">
      <w:pPr>
        <w:pStyle w:val="Sinespaciado"/>
        <w:numPr>
          <w:ilvl w:val="0"/>
          <w:numId w:val="36"/>
        </w:numPr>
        <w:rPr>
          <w:sz w:val="20"/>
          <w:szCs w:val="20"/>
          <w:lang w:val="es-CO"/>
        </w:rPr>
      </w:pPr>
      <w:r>
        <w:rPr>
          <w:sz w:val="20"/>
          <w:szCs w:val="20"/>
          <w:lang w:val="es-CO"/>
        </w:rPr>
        <w:t xml:space="preserve">NO admiten menores de </w:t>
      </w:r>
      <w:r w:rsidR="00052A55">
        <w:rPr>
          <w:sz w:val="20"/>
          <w:szCs w:val="20"/>
          <w:lang w:val="es-CO"/>
        </w:rPr>
        <w:t>3</w:t>
      </w:r>
      <w:r>
        <w:rPr>
          <w:sz w:val="20"/>
          <w:szCs w:val="20"/>
          <w:lang w:val="es-CO"/>
        </w:rPr>
        <w:t xml:space="preserve"> años </w:t>
      </w:r>
      <w:r w:rsidR="00052A55">
        <w:rPr>
          <w:sz w:val="20"/>
          <w:szCs w:val="20"/>
          <w:lang w:val="es-CO"/>
        </w:rPr>
        <w:t>gratis</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lastRenderedPageBreak/>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46CAB739" w14:textId="77777777" w:rsidR="00632789" w:rsidRDefault="00632789" w:rsidP="007F1F05">
      <w:pPr>
        <w:rPr>
          <w:b/>
          <w:bCs/>
        </w:rPr>
      </w:pPr>
    </w:p>
    <w:p w14:paraId="6834564F" w14:textId="77777777" w:rsidR="00632789" w:rsidRDefault="00632789" w:rsidP="007F1F05">
      <w:pPr>
        <w:rPr>
          <w:b/>
          <w:bCs/>
        </w:rPr>
      </w:pPr>
    </w:p>
    <w:p w14:paraId="10D44886" w14:textId="69E3EE28"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lastRenderedPageBreak/>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79D1" w14:textId="77777777" w:rsidR="003F477F" w:rsidRPr="004C0C8C" w:rsidRDefault="003F477F" w:rsidP="00081692">
      <w:pPr>
        <w:spacing w:after="0"/>
      </w:pPr>
      <w:r w:rsidRPr="004C0C8C">
        <w:separator/>
      </w:r>
    </w:p>
  </w:endnote>
  <w:endnote w:type="continuationSeparator" w:id="0">
    <w:p w14:paraId="26C5E795" w14:textId="77777777" w:rsidR="003F477F" w:rsidRPr="004C0C8C" w:rsidRDefault="003F477F" w:rsidP="00081692">
      <w:pPr>
        <w:spacing w:after="0"/>
      </w:pPr>
      <w:r w:rsidRPr="004C0C8C">
        <w:continuationSeparator/>
      </w:r>
    </w:p>
  </w:endnote>
  <w:endnote w:type="continuationNotice" w:id="1">
    <w:p w14:paraId="124A79A9" w14:textId="77777777" w:rsidR="003F477F" w:rsidRPr="004C0C8C" w:rsidRDefault="003F47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E806" w14:textId="77777777" w:rsidR="003F477F" w:rsidRPr="004C0C8C" w:rsidRDefault="003F477F" w:rsidP="00081692">
      <w:pPr>
        <w:spacing w:after="0"/>
      </w:pPr>
      <w:r w:rsidRPr="004C0C8C">
        <w:separator/>
      </w:r>
    </w:p>
  </w:footnote>
  <w:footnote w:type="continuationSeparator" w:id="0">
    <w:p w14:paraId="1CC43401" w14:textId="77777777" w:rsidR="003F477F" w:rsidRPr="004C0C8C" w:rsidRDefault="003F477F" w:rsidP="00081692">
      <w:pPr>
        <w:spacing w:after="0"/>
      </w:pPr>
      <w:r w:rsidRPr="004C0C8C">
        <w:continuationSeparator/>
      </w:r>
    </w:p>
  </w:footnote>
  <w:footnote w:type="continuationNotice" w:id="1">
    <w:p w14:paraId="138D1222" w14:textId="77777777" w:rsidR="003F477F" w:rsidRPr="004C0C8C" w:rsidRDefault="003F47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93FFC"/>
    <w:multiLevelType w:val="multilevel"/>
    <w:tmpl w:val="F53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3"/>
  </w:num>
  <w:num w:numId="2" w16cid:durableId="2102216814">
    <w:abstractNumId w:val="30"/>
  </w:num>
  <w:num w:numId="3" w16cid:durableId="1907255817">
    <w:abstractNumId w:val="8"/>
  </w:num>
  <w:num w:numId="4" w16cid:durableId="1315376481">
    <w:abstractNumId w:val="0"/>
  </w:num>
  <w:num w:numId="5" w16cid:durableId="1143156407">
    <w:abstractNumId w:val="23"/>
  </w:num>
  <w:num w:numId="6" w16cid:durableId="426775280">
    <w:abstractNumId w:val="17"/>
  </w:num>
  <w:num w:numId="7" w16cid:durableId="1158889314">
    <w:abstractNumId w:val="28"/>
  </w:num>
  <w:num w:numId="8" w16cid:durableId="1153764691">
    <w:abstractNumId w:val="21"/>
  </w:num>
  <w:num w:numId="9" w16cid:durableId="1273710713">
    <w:abstractNumId w:val="35"/>
  </w:num>
  <w:num w:numId="10" w16cid:durableId="302396008">
    <w:abstractNumId w:val="3"/>
  </w:num>
  <w:num w:numId="11" w16cid:durableId="670833230">
    <w:abstractNumId w:val="9"/>
  </w:num>
  <w:num w:numId="12" w16cid:durableId="1745107413">
    <w:abstractNumId w:val="11"/>
  </w:num>
  <w:num w:numId="13" w16cid:durableId="270552711">
    <w:abstractNumId w:val="12"/>
  </w:num>
  <w:num w:numId="14" w16cid:durableId="508102886">
    <w:abstractNumId w:val="6"/>
  </w:num>
  <w:num w:numId="15" w16cid:durableId="589657854">
    <w:abstractNumId w:val="29"/>
  </w:num>
  <w:num w:numId="16" w16cid:durableId="1934436132">
    <w:abstractNumId w:val="20"/>
  </w:num>
  <w:num w:numId="17" w16cid:durableId="1374112889">
    <w:abstractNumId w:val="36"/>
  </w:num>
  <w:num w:numId="18" w16cid:durableId="1098210001">
    <w:abstractNumId w:val="16"/>
  </w:num>
  <w:num w:numId="19" w16cid:durableId="1713530300">
    <w:abstractNumId w:val="37"/>
  </w:num>
  <w:num w:numId="20" w16cid:durableId="1730836614">
    <w:abstractNumId w:val="2"/>
  </w:num>
  <w:num w:numId="21" w16cid:durableId="313334691">
    <w:abstractNumId w:val="23"/>
  </w:num>
  <w:num w:numId="22" w16cid:durableId="947277977">
    <w:abstractNumId w:val="7"/>
  </w:num>
  <w:num w:numId="23" w16cid:durableId="184252962">
    <w:abstractNumId w:val="25"/>
  </w:num>
  <w:num w:numId="24" w16cid:durableId="549073007">
    <w:abstractNumId w:val="26"/>
  </w:num>
  <w:num w:numId="25" w16cid:durableId="1824152875">
    <w:abstractNumId w:val="5"/>
  </w:num>
  <w:num w:numId="26" w16cid:durableId="1331830277">
    <w:abstractNumId w:val="34"/>
  </w:num>
  <w:num w:numId="27" w16cid:durableId="1923950840">
    <w:abstractNumId w:val="31"/>
  </w:num>
  <w:num w:numId="28" w16cid:durableId="1228807785">
    <w:abstractNumId w:val="4"/>
  </w:num>
  <w:num w:numId="29" w16cid:durableId="1266110361">
    <w:abstractNumId w:val="33"/>
  </w:num>
  <w:num w:numId="30" w16cid:durableId="1657759480">
    <w:abstractNumId w:val="15"/>
  </w:num>
  <w:num w:numId="31" w16cid:durableId="1630748470">
    <w:abstractNumId w:val="18"/>
  </w:num>
  <w:num w:numId="32" w16cid:durableId="1130051606">
    <w:abstractNumId w:val="32"/>
  </w:num>
  <w:num w:numId="33" w16cid:durableId="1925842128">
    <w:abstractNumId w:val="24"/>
  </w:num>
  <w:num w:numId="34" w16cid:durableId="24907518">
    <w:abstractNumId w:val="27"/>
  </w:num>
  <w:num w:numId="35" w16cid:durableId="236327625">
    <w:abstractNumId w:val="19"/>
  </w:num>
  <w:num w:numId="36" w16cid:durableId="1975795830">
    <w:abstractNumId w:val="14"/>
  </w:num>
  <w:num w:numId="37" w16cid:durableId="20324170">
    <w:abstractNumId w:val="10"/>
  </w:num>
  <w:num w:numId="38" w16cid:durableId="1930310757">
    <w:abstractNumId w:val="22"/>
  </w:num>
  <w:num w:numId="39" w16cid:durableId="35947367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A55"/>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0EBE"/>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477F"/>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2F38"/>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49BE"/>
    <w:rsid w:val="005F73BA"/>
    <w:rsid w:val="0060056B"/>
    <w:rsid w:val="006033FD"/>
    <w:rsid w:val="00603540"/>
    <w:rsid w:val="00606051"/>
    <w:rsid w:val="006154E2"/>
    <w:rsid w:val="006159D7"/>
    <w:rsid w:val="00621698"/>
    <w:rsid w:val="00622A69"/>
    <w:rsid w:val="00624EDE"/>
    <w:rsid w:val="0062782D"/>
    <w:rsid w:val="00627EE8"/>
    <w:rsid w:val="0063158A"/>
    <w:rsid w:val="00632789"/>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0CE6"/>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36ED3"/>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6E42"/>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090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4E57"/>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2BFC"/>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0B6"/>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46C0F"/>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1696</Words>
  <Characters>9329</Characters>
  <Application>Microsoft Office Word</Application>
  <DocSecurity>0</DocSecurity>
  <Lines>77</Lines>
  <Paragraphs>22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2026-04-01T15:21:00Z</dcterms:created>
  <dcterms:modified xsi:type="dcterms:W3CDTF">2026-04-01T15:25:00Z</dcterms:modified>
</cp:coreProperties>
</file>