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1691F0FE">
                <wp:simplePos x="0" y="0"/>
                <wp:positionH relativeFrom="page">
                  <wp:posOffset>95250</wp:posOffset>
                </wp:positionH>
                <wp:positionV relativeFrom="paragraph">
                  <wp:posOffset>259715</wp:posOffset>
                </wp:positionV>
                <wp:extent cx="5400675"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5400675" cy="733425"/>
                        </a:xfrm>
                        <a:prstGeom prst="rect">
                          <a:avLst/>
                        </a:prstGeom>
                      </wps:spPr>
                      <wps:txbx>
                        <w:txbxContent>
                          <w:p w14:paraId="149DD59C" w14:textId="378C2851" w:rsidR="00103EFE" w:rsidRPr="00A55375" w:rsidRDefault="00666446"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SAFARI CON CUEVAS Y BABY BEACH</w:t>
                            </w:r>
                            <w:r w:rsidR="00C175B8">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25.25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" filled="f" stroked="f">
                <v:textbox>
                  <w:txbxContent>
                    <w:p w14:paraId="149DD59C" w14:textId="378C2851" w:rsidR="00103EFE" w:rsidRPr="00A55375" w:rsidRDefault="00666446"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SAFARI CON CUEVAS Y BABY BEACH</w:t>
                      </w:r>
                      <w:r w:rsidR="00C175B8">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403BC422" w:rsidR="00CC6B90" w:rsidRPr="004C0C8C" w:rsidRDefault="009737D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8B4172">
                              <w:rPr>
                                <w:rFonts w:ascii="Verdana" w:eastAsia="Verdana" w:hAnsi="Verdana" w:cs="Verdana"/>
                                <w:b/>
                                <w:bCs/>
                                <w:color w:val="FFFFFF" w:themeColor="background1"/>
                                <w:kern w:val="24"/>
                                <w:sz w:val="50"/>
                                <w:szCs w:val="50"/>
                              </w:rPr>
                              <w:t>25</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403BC422" w:rsidR="00CC6B90" w:rsidRPr="004C0C8C" w:rsidRDefault="009737D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8B4172">
                        <w:rPr>
                          <w:rFonts w:ascii="Verdana" w:eastAsia="Verdana" w:hAnsi="Verdana" w:cs="Verdana"/>
                          <w:b/>
                          <w:bCs/>
                          <w:color w:val="FFFFFF" w:themeColor="background1"/>
                          <w:kern w:val="24"/>
                          <w:sz w:val="50"/>
                          <w:szCs w:val="50"/>
                        </w:rPr>
                        <w:t>25</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702BB5F9" w14:textId="77777777" w:rsidR="0053747F" w:rsidRDefault="0053747F" w:rsidP="00056480"/>
    <w:p w14:paraId="116EC909" w14:textId="0E83C510"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1C0DFC2D" w:rsidR="00A1115A" w:rsidRPr="004C0C8C" w:rsidRDefault="00666446" w:rsidP="00A1115A">
      <w:pPr>
        <w:ind w:left="-567"/>
        <w:rPr>
          <w:rFonts w:asciiTheme="minorBidi" w:hAnsiTheme="minorBidi"/>
          <w:b/>
          <w:bCs/>
          <w:sz w:val="20"/>
          <w:szCs w:val="20"/>
        </w:rPr>
      </w:pPr>
      <w:r>
        <w:rPr>
          <w:rFonts w:asciiTheme="minorBidi" w:hAnsiTheme="minorBidi"/>
          <w:b/>
          <w:bCs/>
          <w:sz w:val="20"/>
          <w:szCs w:val="20"/>
        </w:rPr>
        <w:t xml:space="preserve">Jueves, </w:t>
      </w:r>
      <w:r w:rsidR="0021018B">
        <w:rPr>
          <w:rFonts w:asciiTheme="minorBidi" w:hAnsiTheme="minorBidi"/>
          <w:b/>
          <w:bCs/>
          <w:sz w:val="20"/>
          <w:szCs w:val="20"/>
        </w:rPr>
        <w:t>viernes</w:t>
      </w:r>
      <w:r>
        <w:rPr>
          <w:rFonts w:asciiTheme="minorBidi" w:hAnsiTheme="minorBidi"/>
          <w:b/>
          <w:bCs/>
          <w:sz w:val="20"/>
          <w:szCs w:val="20"/>
        </w:rPr>
        <w:t xml:space="preserve"> y </w:t>
      </w:r>
      <w:r w:rsidR="0021018B">
        <w:rPr>
          <w:rFonts w:asciiTheme="minorBidi" w:hAnsiTheme="minorBidi"/>
          <w:b/>
          <w:bCs/>
          <w:sz w:val="20"/>
          <w:szCs w:val="20"/>
        </w:rPr>
        <w:t>sábados</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6CE0ED12" w14:textId="77777777" w:rsidR="00666446" w:rsidRPr="00666446" w:rsidRDefault="00666446" w:rsidP="00666446">
      <w:pPr>
        <w:pStyle w:val="Sinespaciado"/>
        <w:numPr>
          <w:ilvl w:val="0"/>
          <w:numId w:val="42"/>
        </w:numPr>
        <w:rPr>
          <w:lang w:val="es-419"/>
        </w:rPr>
      </w:pPr>
      <w:r w:rsidRPr="00666446">
        <w:rPr>
          <w:lang w:val="es-419"/>
        </w:rPr>
        <w:t>Edades: Edades 4+</w:t>
      </w:r>
    </w:p>
    <w:p w14:paraId="0BF3C6BA" w14:textId="77777777" w:rsidR="00666446" w:rsidRPr="00666446" w:rsidRDefault="00666446" w:rsidP="00666446">
      <w:pPr>
        <w:pStyle w:val="Sinespaciado"/>
        <w:numPr>
          <w:ilvl w:val="0"/>
          <w:numId w:val="42"/>
        </w:numPr>
        <w:rPr>
          <w:lang w:val="es-419"/>
        </w:rPr>
      </w:pPr>
      <w:r w:rsidRPr="00666446">
        <w:rPr>
          <w:lang w:val="es-419"/>
        </w:rPr>
        <w:t>Duración de la actividad: 4 - 5 Horas</w:t>
      </w:r>
    </w:p>
    <w:p w14:paraId="221B725D" w14:textId="77777777" w:rsidR="00666446" w:rsidRPr="00666446" w:rsidRDefault="00666446" w:rsidP="00666446">
      <w:pPr>
        <w:pStyle w:val="Sinespaciado"/>
        <w:numPr>
          <w:ilvl w:val="0"/>
          <w:numId w:val="42"/>
        </w:numPr>
        <w:rPr>
          <w:lang w:val="es-419"/>
        </w:rPr>
      </w:pPr>
      <w:r w:rsidRPr="00666446">
        <w:rPr>
          <w:lang w:val="es-419"/>
        </w:rPr>
        <w:t>Nivel de actividad: Extenuante</w:t>
      </w:r>
    </w:p>
    <w:p w14:paraId="11FF1462" w14:textId="77777777" w:rsidR="00666446" w:rsidRPr="00666446" w:rsidRDefault="00666446" w:rsidP="00666446">
      <w:pPr>
        <w:pStyle w:val="Sinespaciado"/>
        <w:numPr>
          <w:ilvl w:val="0"/>
          <w:numId w:val="42"/>
        </w:numPr>
        <w:rPr>
          <w:lang w:val="es-419"/>
        </w:rPr>
      </w:pPr>
      <w:r w:rsidRPr="00666446">
        <w:rPr>
          <w:lang w:val="es-419"/>
        </w:rPr>
        <w:t>Hora de Salida: 8:30 h</w:t>
      </w:r>
    </w:p>
    <w:p w14:paraId="0BAE79F3" w14:textId="77777777" w:rsidR="00666446" w:rsidRPr="00666446" w:rsidRDefault="00666446" w:rsidP="00666446">
      <w:pPr>
        <w:pStyle w:val="Sinespaciado"/>
        <w:numPr>
          <w:ilvl w:val="0"/>
          <w:numId w:val="42"/>
        </w:numPr>
        <w:rPr>
          <w:lang w:val="es-419"/>
        </w:rPr>
      </w:pPr>
      <w:r w:rsidRPr="00666446">
        <w:rPr>
          <w:lang w:val="es-419"/>
        </w:rPr>
        <w:t>Botella de agua</w:t>
      </w:r>
    </w:p>
    <w:p w14:paraId="3F892423" w14:textId="77777777" w:rsidR="00666446" w:rsidRPr="00666446" w:rsidRDefault="00666446" w:rsidP="00666446">
      <w:pPr>
        <w:pStyle w:val="Sinespaciado"/>
        <w:numPr>
          <w:ilvl w:val="0"/>
          <w:numId w:val="42"/>
        </w:numPr>
        <w:rPr>
          <w:lang w:val="es-419"/>
        </w:rPr>
      </w:pPr>
      <w:r w:rsidRPr="00666446">
        <w:rPr>
          <w:lang w:val="es-419"/>
        </w:rPr>
        <w:t>Equipo de snorkel</w:t>
      </w:r>
    </w:p>
    <w:p w14:paraId="0B3C29C9" w14:textId="77777777" w:rsidR="00666446" w:rsidRPr="00666446" w:rsidRDefault="00666446" w:rsidP="00666446">
      <w:pPr>
        <w:pStyle w:val="Sinespaciado"/>
        <w:numPr>
          <w:ilvl w:val="0"/>
          <w:numId w:val="42"/>
        </w:numPr>
        <w:rPr>
          <w:lang w:val="es-419"/>
        </w:rPr>
      </w:pPr>
      <w:r w:rsidRPr="00666446">
        <w:rPr>
          <w:lang w:val="es-419"/>
        </w:rPr>
        <w:t>Entradas</w:t>
      </w:r>
    </w:p>
    <w:p w14:paraId="1E1BBA0C" w14:textId="77777777" w:rsidR="00666446" w:rsidRDefault="00666446" w:rsidP="00666446">
      <w:pPr>
        <w:pStyle w:val="Sinespaciado"/>
        <w:numPr>
          <w:ilvl w:val="0"/>
          <w:numId w:val="42"/>
        </w:numPr>
        <w:rPr>
          <w:lang w:val="es-419"/>
        </w:rPr>
      </w:pPr>
      <w:r w:rsidRPr="00666446">
        <w:rPr>
          <w:lang w:val="es-419"/>
        </w:rPr>
        <w:t>Guía certificado del tour</w:t>
      </w:r>
    </w:p>
    <w:p w14:paraId="2D4D0A5D" w14:textId="77777777" w:rsidR="0021018B" w:rsidRPr="0021018B" w:rsidRDefault="0021018B" w:rsidP="0021018B">
      <w:pPr>
        <w:pStyle w:val="Prrafodelista"/>
        <w:numPr>
          <w:ilvl w:val="0"/>
          <w:numId w:val="42"/>
        </w:numPr>
        <w:rPr>
          <w:rFonts w:eastAsiaTheme="minorEastAsia"/>
          <w:lang w:val="es-419" w:eastAsia="zh-CN"/>
        </w:rPr>
      </w:pPr>
      <w:r w:rsidRPr="0021018B">
        <w:rPr>
          <w:rFonts w:eastAsiaTheme="minorEastAsia"/>
          <w:lang w:val="es-419" w:eastAsia="zh-CN"/>
        </w:rPr>
        <w:t>El transporte de ida y vuelta desde la mayoría de los hoteles está incluido; para confirmar la hora de recogida, visita uno de nuestros mostradores de Actividades o de Servicios al Huésped de tu hotel.</w:t>
      </w:r>
    </w:p>
    <w:p w14:paraId="3663DE14" w14:textId="77777777" w:rsidR="00C175B8" w:rsidRPr="00C175B8" w:rsidRDefault="00C175B8" w:rsidP="00666446">
      <w:pPr>
        <w:pStyle w:val="Sinespaciado"/>
        <w:rPr>
          <w:lang w:val="es-419"/>
        </w:rPr>
      </w:pPr>
    </w:p>
    <w:p w14:paraId="6E3D20B7" w14:textId="77777777" w:rsidR="00845911" w:rsidRPr="001B58F4" w:rsidRDefault="00845911" w:rsidP="00845911">
      <w:pPr>
        <w:pStyle w:val="Sinespaciado"/>
        <w:rPr>
          <w:lang w:val="es-419"/>
        </w:rPr>
      </w:pPr>
    </w:p>
    <w:p w14:paraId="11EBAFF2" w14:textId="5FD74252" w:rsidR="00FC2996" w:rsidRDefault="00AE40DB" w:rsidP="00FC2996">
      <w:pPr>
        <w:pStyle w:val="Sinespaciado"/>
        <w:rPr>
          <w:b/>
          <w:bCs/>
          <w:lang w:val="es-CO"/>
        </w:rPr>
      </w:pPr>
      <w:r w:rsidRPr="004C0C8C">
        <w:rPr>
          <w:b/>
          <w:bCs/>
          <w:lang w:val="es-CO"/>
        </w:rPr>
        <w:t>ITINERARIO</w:t>
      </w:r>
    </w:p>
    <w:p w14:paraId="6BCB44B8" w14:textId="77777777" w:rsidR="00A90A64" w:rsidRPr="004C0C8C" w:rsidRDefault="00A90A64" w:rsidP="00FC2996">
      <w:pPr>
        <w:pStyle w:val="Sinespaciado"/>
        <w:rPr>
          <w:b/>
          <w:bCs/>
          <w:lang w:val="es-CO"/>
        </w:rPr>
      </w:pPr>
    </w:p>
    <w:p w14:paraId="7A671DD6" w14:textId="497B90EB" w:rsidR="00666446" w:rsidRPr="00666446" w:rsidRDefault="00666446" w:rsidP="00666446">
      <w:pPr>
        <w:jc w:val="both"/>
        <w:rPr>
          <w:rFonts w:cstheme="minorHAnsi"/>
          <w:lang w:val="es-419"/>
        </w:rPr>
      </w:pPr>
      <w:r w:rsidRPr="00666446">
        <w:rPr>
          <w:rFonts w:cstheme="minorHAnsi"/>
          <w:lang w:val="es-419"/>
        </w:rPr>
        <w:t>¡Embárcate en una emocionante aventura todoterreno que te llevará a las cautivadoras cuevas, combinada con una emocionante experiencia de esnórquel en Baby Beach!</w:t>
      </w:r>
    </w:p>
    <w:p w14:paraId="3E46A582" w14:textId="24737405" w:rsidR="00666446" w:rsidRPr="00666446" w:rsidRDefault="00666446" w:rsidP="00666446">
      <w:pPr>
        <w:jc w:val="both"/>
        <w:rPr>
          <w:rFonts w:cstheme="minorHAnsi"/>
          <w:lang w:val="es-419"/>
        </w:rPr>
      </w:pPr>
      <w:r w:rsidRPr="00666446">
        <w:rPr>
          <w:rFonts w:cstheme="minorHAnsi"/>
          <w:lang w:val="es-419"/>
        </w:rPr>
        <w:t xml:space="preserve">Experimenta una nueva dimensión de diversión en familia a bordo de nuestros vehículos descapotables, emprendiendo un viaje extraordinario de descubrimiento. Tanto jóvenes como mayores quedarán encantados por la vibrante flora y fauna de la isla mientras se dirigen hacia sitios reconocidos como la Cueva Fontein y las Cavernas </w:t>
      </w:r>
      <w:proofErr w:type="spellStart"/>
      <w:r w:rsidRPr="00666446">
        <w:rPr>
          <w:rFonts w:cstheme="minorHAnsi"/>
          <w:lang w:val="es-419"/>
        </w:rPr>
        <w:t>Guadirikiri</w:t>
      </w:r>
      <w:proofErr w:type="spellEnd"/>
      <w:r w:rsidRPr="00666446">
        <w:rPr>
          <w:rFonts w:cstheme="minorHAnsi"/>
          <w:lang w:val="es-419"/>
        </w:rPr>
        <w:t>. Interactúa con la vida silvestre en el camino y continúa la aventura en Baby Beach, donde el esnórquel añade un toque de magia a tus recuerdos.</w:t>
      </w:r>
    </w:p>
    <w:p w14:paraId="37484325" w14:textId="77777777" w:rsidR="00666446" w:rsidRPr="00666446" w:rsidRDefault="00666446" w:rsidP="00666446">
      <w:pPr>
        <w:jc w:val="both"/>
        <w:rPr>
          <w:rFonts w:cstheme="minorHAnsi"/>
          <w:b/>
          <w:bCs/>
          <w:lang w:val="es-419"/>
        </w:rPr>
      </w:pPr>
      <w:r w:rsidRPr="00666446">
        <w:rPr>
          <w:rFonts w:cstheme="minorHAnsi"/>
          <w:b/>
          <w:bCs/>
          <w:lang w:val="es-419"/>
        </w:rPr>
        <w:t>Paradas del tour:</w:t>
      </w:r>
    </w:p>
    <w:p w14:paraId="6A44B0E4" w14:textId="77777777" w:rsidR="00666446" w:rsidRPr="00666446" w:rsidRDefault="00666446" w:rsidP="00666446">
      <w:pPr>
        <w:jc w:val="both"/>
        <w:rPr>
          <w:rFonts w:cstheme="minorHAnsi"/>
          <w:lang w:val="es-419"/>
        </w:rPr>
      </w:pPr>
      <w:r w:rsidRPr="00666446">
        <w:rPr>
          <w:rFonts w:cstheme="minorHAnsi"/>
          <w:lang w:val="es-419"/>
        </w:rPr>
        <w:t>Cueva de Fontein: En Aruba, son una fascinante atracción natural que ofrece una visión de la historia geológica y el patrimonio cultural de la isla.</w:t>
      </w:r>
    </w:p>
    <w:p w14:paraId="6842FB7C" w14:textId="77777777" w:rsidR="00666446" w:rsidRPr="00666446" w:rsidRDefault="00666446" w:rsidP="00666446">
      <w:pPr>
        <w:jc w:val="both"/>
        <w:rPr>
          <w:rFonts w:cstheme="minorHAnsi"/>
          <w:lang w:val="es-419"/>
        </w:rPr>
      </w:pPr>
      <w:r w:rsidRPr="00666446">
        <w:rPr>
          <w:rFonts w:cstheme="minorHAnsi"/>
          <w:lang w:val="es-419"/>
        </w:rPr>
        <w:t xml:space="preserve">Estanque de Peces Fontein: Ubicado cerca de la Cueva Fontein en el Parque Nacional </w:t>
      </w:r>
      <w:proofErr w:type="spellStart"/>
      <w:r w:rsidRPr="00666446">
        <w:rPr>
          <w:rFonts w:cstheme="minorHAnsi"/>
          <w:lang w:val="es-419"/>
        </w:rPr>
        <w:t>Arikok</w:t>
      </w:r>
      <w:proofErr w:type="spellEnd"/>
      <w:r w:rsidRPr="00666446">
        <w:rPr>
          <w:rFonts w:cstheme="minorHAnsi"/>
          <w:lang w:val="es-419"/>
        </w:rPr>
        <w:t>. Un pequeño sendero fuera de la cueva, que también es un gran sitio para visitar, te llevará a este spa natural, donde encontrarás un arroyo lleno de peces que nadan libremente y están ansiosos por mordisquear tus pies.</w:t>
      </w:r>
    </w:p>
    <w:p w14:paraId="6CB6AA06" w14:textId="77777777" w:rsidR="00666446" w:rsidRPr="00666446" w:rsidRDefault="00666446" w:rsidP="00666446">
      <w:pPr>
        <w:jc w:val="both"/>
        <w:rPr>
          <w:rFonts w:cstheme="minorHAnsi"/>
          <w:lang w:val="es-419"/>
        </w:rPr>
      </w:pPr>
      <w:r w:rsidRPr="00666446">
        <w:rPr>
          <w:rFonts w:cstheme="minorHAnsi"/>
          <w:lang w:val="es-419"/>
        </w:rPr>
        <w:t xml:space="preserve">Cueva de </w:t>
      </w:r>
      <w:proofErr w:type="spellStart"/>
      <w:r w:rsidRPr="00666446">
        <w:rPr>
          <w:rFonts w:cstheme="minorHAnsi"/>
          <w:lang w:val="es-419"/>
        </w:rPr>
        <w:t>Guadirikiri</w:t>
      </w:r>
      <w:proofErr w:type="spellEnd"/>
      <w:r w:rsidRPr="00666446">
        <w:rPr>
          <w:rFonts w:cstheme="minorHAnsi"/>
          <w:lang w:val="es-419"/>
        </w:rPr>
        <w:t>: Estas cuevas de piedra caliza son famosas por sus formaciones rocosas únicas, intrincados pasajes y el cautivador juego de luces y sombras dentro de sus cámaras.</w:t>
      </w:r>
    </w:p>
    <w:p w14:paraId="36A58A30" w14:textId="77777777" w:rsidR="00666446" w:rsidRPr="00666446" w:rsidRDefault="00666446" w:rsidP="00666446">
      <w:pPr>
        <w:jc w:val="both"/>
        <w:rPr>
          <w:rFonts w:cstheme="minorHAnsi"/>
          <w:lang w:val="es-419"/>
        </w:rPr>
      </w:pPr>
      <w:r w:rsidRPr="00666446">
        <w:rPr>
          <w:rFonts w:cstheme="minorHAnsi"/>
          <w:lang w:val="es-419"/>
        </w:rPr>
        <w:t>Snorkel en Baby Beach: Sumérgete en las aguas cristalinas de Baby Beach, donde puedes descubrir el vibrante mundo submarino de Aruba en uno de los principales lugares para hacer snorkel de la isla.</w:t>
      </w:r>
    </w:p>
    <w:p w14:paraId="07B31D65" w14:textId="77777777" w:rsidR="00666446" w:rsidRPr="00666446" w:rsidRDefault="00666446" w:rsidP="00666446">
      <w:pPr>
        <w:jc w:val="both"/>
        <w:rPr>
          <w:rFonts w:cstheme="minorHAnsi"/>
          <w:b/>
          <w:bCs/>
          <w:lang w:val="es-419"/>
        </w:rPr>
      </w:pPr>
      <w:r w:rsidRPr="00666446">
        <w:rPr>
          <w:rFonts w:cstheme="minorHAnsi"/>
          <w:b/>
          <w:bCs/>
          <w:lang w:val="es-419"/>
        </w:rPr>
        <w:lastRenderedPageBreak/>
        <w:t>Pasa por:</w:t>
      </w:r>
    </w:p>
    <w:p w14:paraId="0299D3CE" w14:textId="578490D4" w:rsidR="00666446" w:rsidRPr="00666446" w:rsidRDefault="00666446" w:rsidP="00666446">
      <w:pPr>
        <w:jc w:val="both"/>
        <w:rPr>
          <w:rFonts w:cstheme="minorHAnsi"/>
          <w:lang w:val="es-419"/>
        </w:rPr>
      </w:pPr>
      <w:r w:rsidRPr="00666446">
        <w:rPr>
          <w:rFonts w:cstheme="minorHAnsi"/>
          <w:lang w:val="es-419"/>
        </w:rPr>
        <w:t>Boca Prins: “La Boca del Príncipe” se traduce al inglés como “</w:t>
      </w:r>
      <w:proofErr w:type="spellStart"/>
      <w:r w:rsidRPr="00666446">
        <w:rPr>
          <w:rFonts w:cstheme="minorHAnsi"/>
          <w:lang w:val="es-419"/>
        </w:rPr>
        <w:t>Prince’s</w:t>
      </w:r>
      <w:proofErr w:type="spellEnd"/>
      <w:r w:rsidRPr="00666446">
        <w:rPr>
          <w:rFonts w:cstheme="minorHAnsi"/>
          <w:lang w:val="es-419"/>
        </w:rPr>
        <w:t xml:space="preserve"> </w:t>
      </w:r>
      <w:proofErr w:type="spellStart"/>
      <w:r w:rsidRPr="00666446">
        <w:rPr>
          <w:rFonts w:cstheme="minorHAnsi"/>
          <w:lang w:val="es-419"/>
        </w:rPr>
        <w:t>Mouth</w:t>
      </w:r>
      <w:proofErr w:type="spellEnd"/>
      <w:r w:rsidRPr="00666446">
        <w:rPr>
          <w:rFonts w:cstheme="minorHAnsi"/>
          <w:lang w:val="es-419"/>
        </w:rPr>
        <w:t>” y hace referencia a una pintoresca ensenada donde el Mar Caribe se encuentra con los acantilados escarpados y dramáticos de la costa nororiental de Aruba. La zona es conocida por sus vistas impresionantes, con imponentes acantilados de piedra caliza, litorales rocosos y aguas turquesas deslumbrantes.</w:t>
      </w:r>
      <w:r>
        <w:rPr>
          <w:rFonts w:cstheme="minorHAnsi"/>
          <w:lang w:val="es-419"/>
        </w:rPr>
        <w:t xml:space="preserve"> </w:t>
      </w:r>
      <w:r w:rsidRPr="00666446">
        <w:rPr>
          <w:rFonts w:cstheme="minorHAnsi"/>
          <w:lang w:val="es-419"/>
        </w:rPr>
        <w:t xml:space="preserve">de </w:t>
      </w:r>
      <w:proofErr w:type="spellStart"/>
      <w:r w:rsidRPr="00666446">
        <w:rPr>
          <w:rFonts w:cstheme="minorHAnsi"/>
          <w:lang w:val="es-419"/>
        </w:rPr>
        <w:t>palm</w:t>
      </w:r>
      <w:proofErr w:type="spellEnd"/>
      <w:r w:rsidRPr="00666446">
        <w:rPr>
          <w:rFonts w:cstheme="minorHAnsi"/>
          <w:lang w:val="es-419"/>
        </w:rPr>
        <w:t xml:space="preserve"> tours safari off </w:t>
      </w:r>
      <w:proofErr w:type="spellStart"/>
      <w:r w:rsidRPr="00666446">
        <w:rPr>
          <w:rFonts w:cstheme="minorHAnsi"/>
          <w:lang w:val="es-419"/>
        </w:rPr>
        <w:t>road</w:t>
      </w:r>
      <w:proofErr w:type="spellEnd"/>
    </w:p>
    <w:p w14:paraId="625F2B13" w14:textId="77777777" w:rsidR="00666446" w:rsidRPr="00666446" w:rsidRDefault="00666446" w:rsidP="00666446">
      <w:pPr>
        <w:jc w:val="both"/>
        <w:rPr>
          <w:rFonts w:cstheme="minorHAnsi"/>
          <w:lang w:val="es-419"/>
        </w:rPr>
      </w:pPr>
    </w:p>
    <w:p w14:paraId="0D9D4B9A" w14:textId="78045C4E" w:rsidR="00C175B8" w:rsidRDefault="00666446" w:rsidP="00666446">
      <w:pPr>
        <w:jc w:val="both"/>
        <w:rPr>
          <w:rFonts w:cstheme="minorHAnsi"/>
          <w:lang w:val="es-419"/>
        </w:rPr>
      </w:pPr>
      <w:r w:rsidRPr="00666446">
        <w:rPr>
          <w:rFonts w:cstheme="minorHAnsi"/>
          <w:lang w:val="es-419"/>
        </w:rPr>
        <w:t>Lleva tu propia botella de agua reutilizable. En este viaje fantástico, dejemos de usar plástico de un solo uso y trae tu botella de agua reutilizable. Tenemos un tanque de agua para mantenerte hidratado. ¡Tomemos, salvemos el planeta y divirtámonos! ¡No te pierdas esta aventura inolvidable para descubrir las maravillas de la naturaleza de Aruba!</w:t>
      </w:r>
    </w:p>
    <w:p w14:paraId="20168F67" w14:textId="77777777" w:rsidR="00666446" w:rsidRDefault="00666446" w:rsidP="00666446">
      <w:pPr>
        <w:jc w:val="both"/>
        <w:rPr>
          <w:rFonts w:cstheme="minorHAnsi"/>
          <w:lang w:val="es-419"/>
        </w:rPr>
      </w:pPr>
    </w:p>
    <w:p w14:paraId="3079CD4A" w14:textId="77777777" w:rsidR="00666446" w:rsidRPr="00A90A64" w:rsidRDefault="00666446" w:rsidP="00666446">
      <w:pPr>
        <w:jc w:val="both"/>
        <w:rPr>
          <w:rFonts w:cstheme="minorHAnsi"/>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7DB425C"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sidR="00A90A64">
              <w:rPr>
                <w:rFonts w:ascii="Calibri" w:eastAsia="Times New Roman" w:hAnsi="Calibri" w:cs="Calibri"/>
                <w:i/>
                <w:iCs/>
                <w:color w:val="70AD47" w:themeColor="accent6"/>
                <w:lang w:eastAsia="es-CO"/>
              </w:rPr>
              <w:t xml:space="preserve"> </w:t>
            </w:r>
          </w:p>
        </w:tc>
        <w:tc>
          <w:tcPr>
            <w:tcW w:w="1807" w:type="dxa"/>
          </w:tcPr>
          <w:p w14:paraId="729101FA" w14:textId="7DB8BC57"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245995">
              <w:rPr>
                <w:rFonts w:ascii="Calibri" w:eastAsia="Times New Roman" w:hAnsi="Calibri" w:cs="Calibri"/>
                <w:i/>
                <w:iCs/>
                <w:color w:val="70AD47" w:themeColor="accent6"/>
                <w:lang w:eastAsia="es-CO"/>
              </w:rPr>
              <w:t>4</w:t>
            </w:r>
            <w:r w:rsidR="005C7A20">
              <w:rPr>
                <w:rFonts w:ascii="Calibri" w:eastAsia="Times New Roman" w:hAnsi="Calibri" w:cs="Calibri"/>
                <w:i/>
                <w:iCs/>
                <w:color w:val="70AD47" w:themeColor="accent6"/>
                <w:lang w:eastAsia="es-CO"/>
              </w:rPr>
              <w:t>-</w:t>
            </w:r>
            <w:r w:rsidR="00245995">
              <w:rPr>
                <w:rFonts w:ascii="Calibri" w:eastAsia="Times New Roman" w:hAnsi="Calibri" w:cs="Calibri"/>
                <w:i/>
                <w:iCs/>
                <w:color w:val="70AD47" w:themeColor="accent6"/>
                <w:lang w:eastAsia="es-CO"/>
              </w:rPr>
              <w:t>9</w:t>
            </w:r>
            <w:r w:rsidR="005C7A20">
              <w:rPr>
                <w:rFonts w:ascii="Calibri" w:eastAsia="Times New Roman" w:hAnsi="Calibri" w:cs="Calibri"/>
                <w:i/>
                <w:iCs/>
                <w:color w:val="70AD47" w:themeColor="accent6"/>
                <w:lang w:eastAsia="es-CO"/>
              </w:rPr>
              <w:t xml:space="preserve"> </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65FCF88F"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3D200524"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90A64">
              <w:rPr>
                <w:rFonts w:ascii="Calibri" w:eastAsia="Times New Roman" w:hAnsi="Calibri" w:cs="Calibri"/>
                <w:color w:val="000000"/>
                <w:lang w:eastAsia="es-CO"/>
              </w:rPr>
              <w:t>1</w:t>
            </w:r>
            <w:r w:rsidR="00C175B8">
              <w:rPr>
                <w:rFonts w:ascii="Calibri" w:eastAsia="Times New Roman" w:hAnsi="Calibri" w:cs="Calibri"/>
                <w:color w:val="000000"/>
                <w:lang w:eastAsia="es-CO"/>
              </w:rPr>
              <w:t>25</w:t>
            </w:r>
          </w:p>
        </w:tc>
        <w:tc>
          <w:tcPr>
            <w:tcW w:w="1807" w:type="dxa"/>
          </w:tcPr>
          <w:p w14:paraId="3A47C011" w14:textId="793461B1"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245995">
              <w:rPr>
                <w:rFonts w:ascii="Calibri" w:eastAsia="Times New Roman" w:hAnsi="Calibri" w:cs="Calibri"/>
                <w:color w:val="000000"/>
                <w:lang w:eastAsia="es-CO"/>
              </w:rPr>
              <w:t>106</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2E30738D"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245995">
        <w:rPr>
          <w:sz w:val="20"/>
          <w:szCs w:val="20"/>
          <w:lang w:val="es-CO"/>
        </w:rPr>
        <w:t>3</w:t>
      </w:r>
      <w:r>
        <w:rPr>
          <w:sz w:val="20"/>
          <w:szCs w:val="20"/>
          <w:lang w:val="es-CO"/>
        </w:rPr>
        <w:t xml:space="preserve"> años</w:t>
      </w:r>
      <w:r w:rsidR="005C7A20">
        <w:rPr>
          <w:sz w:val="20"/>
          <w:szCs w:val="20"/>
          <w:lang w:val="es-CO"/>
        </w:rPr>
        <w:t xml:space="preserve"> gratis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lastRenderedPageBreak/>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66DA3130" w14:textId="77777777" w:rsidR="006E65B4" w:rsidRDefault="006E65B4" w:rsidP="007F1F05">
      <w:pPr>
        <w:rPr>
          <w:b/>
          <w:bCs/>
        </w:rPr>
      </w:pPr>
    </w:p>
    <w:p w14:paraId="548FAA28" w14:textId="77777777" w:rsidR="006E65B4" w:rsidRDefault="006E65B4" w:rsidP="007F1F05">
      <w:pPr>
        <w:rPr>
          <w:b/>
          <w:bCs/>
        </w:rPr>
      </w:pPr>
    </w:p>
    <w:p w14:paraId="32EC7403" w14:textId="5B9DECBB"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638FDBB9" w14:textId="77777777" w:rsidR="00C333B6" w:rsidRDefault="00C333B6" w:rsidP="007F1F05">
      <w:pPr>
        <w:rPr>
          <w:b/>
          <w:bCs/>
        </w:rPr>
      </w:pPr>
    </w:p>
    <w:p w14:paraId="443D1829" w14:textId="77777777" w:rsidR="00C333B6" w:rsidRDefault="00C333B6" w:rsidP="007F1F05">
      <w:pPr>
        <w:rPr>
          <w:b/>
          <w:bCs/>
        </w:rPr>
      </w:pPr>
    </w:p>
    <w:p w14:paraId="10D44886" w14:textId="20ED21F9"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C1A1" w14:textId="77777777" w:rsidR="00835888" w:rsidRPr="004C0C8C" w:rsidRDefault="00835888" w:rsidP="00081692">
      <w:pPr>
        <w:spacing w:after="0"/>
      </w:pPr>
      <w:r w:rsidRPr="004C0C8C">
        <w:separator/>
      </w:r>
    </w:p>
  </w:endnote>
  <w:endnote w:type="continuationSeparator" w:id="0">
    <w:p w14:paraId="7EF18B25" w14:textId="77777777" w:rsidR="00835888" w:rsidRPr="004C0C8C" w:rsidRDefault="00835888" w:rsidP="00081692">
      <w:pPr>
        <w:spacing w:after="0"/>
      </w:pPr>
      <w:r w:rsidRPr="004C0C8C">
        <w:continuationSeparator/>
      </w:r>
    </w:p>
  </w:endnote>
  <w:endnote w:type="continuationNotice" w:id="1">
    <w:p w14:paraId="66D48195" w14:textId="77777777" w:rsidR="00835888" w:rsidRPr="004C0C8C" w:rsidRDefault="008358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1C0B" w14:textId="77777777" w:rsidR="00835888" w:rsidRPr="004C0C8C" w:rsidRDefault="00835888" w:rsidP="00081692">
      <w:pPr>
        <w:spacing w:after="0"/>
      </w:pPr>
      <w:r w:rsidRPr="004C0C8C">
        <w:separator/>
      </w:r>
    </w:p>
  </w:footnote>
  <w:footnote w:type="continuationSeparator" w:id="0">
    <w:p w14:paraId="2CF7914E" w14:textId="77777777" w:rsidR="00835888" w:rsidRPr="004C0C8C" w:rsidRDefault="00835888" w:rsidP="00081692">
      <w:pPr>
        <w:spacing w:after="0"/>
      </w:pPr>
      <w:r w:rsidRPr="004C0C8C">
        <w:continuationSeparator/>
      </w:r>
    </w:p>
  </w:footnote>
  <w:footnote w:type="continuationNotice" w:id="1">
    <w:p w14:paraId="581EC218" w14:textId="77777777" w:rsidR="00835888" w:rsidRPr="004C0C8C" w:rsidRDefault="008358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22A90"/>
    <w:multiLevelType w:val="multilevel"/>
    <w:tmpl w:val="3284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EF86924"/>
    <w:multiLevelType w:val="multilevel"/>
    <w:tmpl w:val="C2E6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C274D6"/>
    <w:multiLevelType w:val="multilevel"/>
    <w:tmpl w:val="E83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2341C"/>
    <w:multiLevelType w:val="multilevel"/>
    <w:tmpl w:val="9712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3"/>
  </w:num>
  <w:num w:numId="2" w16cid:durableId="2102216814">
    <w:abstractNumId w:val="33"/>
  </w:num>
  <w:num w:numId="3" w16cid:durableId="1907255817">
    <w:abstractNumId w:val="8"/>
  </w:num>
  <w:num w:numId="4" w16cid:durableId="1315376481">
    <w:abstractNumId w:val="0"/>
  </w:num>
  <w:num w:numId="5" w16cid:durableId="1143156407">
    <w:abstractNumId w:val="26"/>
  </w:num>
  <w:num w:numId="6" w16cid:durableId="426775280">
    <w:abstractNumId w:val="19"/>
  </w:num>
  <w:num w:numId="7" w16cid:durableId="1158889314">
    <w:abstractNumId w:val="31"/>
  </w:num>
  <w:num w:numId="8" w16cid:durableId="1153764691">
    <w:abstractNumId w:val="24"/>
  </w:num>
  <w:num w:numId="9" w16cid:durableId="1273710713">
    <w:abstractNumId w:val="38"/>
  </w:num>
  <w:num w:numId="10" w16cid:durableId="302396008">
    <w:abstractNumId w:val="3"/>
  </w:num>
  <w:num w:numId="11" w16cid:durableId="670833230">
    <w:abstractNumId w:val="9"/>
  </w:num>
  <w:num w:numId="12" w16cid:durableId="1745107413">
    <w:abstractNumId w:val="11"/>
  </w:num>
  <w:num w:numId="13" w16cid:durableId="270552711">
    <w:abstractNumId w:val="12"/>
  </w:num>
  <w:num w:numId="14" w16cid:durableId="508102886">
    <w:abstractNumId w:val="6"/>
  </w:num>
  <w:num w:numId="15" w16cid:durableId="589657854">
    <w:abstractNumId w:val="32"/>
  </w:num>
  <w:num w:numId="16" w16cid:durableId="1934436132">
    <w:abstractNumId w:val="22"/>
  </w:num>
  <w:num w:numId="17" w16cid:durableId="1374112889">
    <w:abstractNumId w:val="39"/>
  </w:num>
  <w:num w:numId="18" w16cid:durableId="1098210001">
    <w:abstractNumId w:val="18"/>
  </w:num>
  <w:num w:numId="19" w16cid:durableId="1713530300">
    <w:abstractNumId w:val="40"/>
  </w:num>
  <w:num w:numId="20" w16cid:durableId="1730836614">
    <w:abstractNumId w:val="2"/>
  </w:num>
  <w:num w:numId="21" w16cid:durableId="313334691">
    <w:abstractNumId w:val="26"/>
  </w:num>
  <w:num w:numId="22" w16cid:durableId="947277977">
    <w:abstractNumId w:val="7"/>
  </w:num>
  <w:num w:numId="23" w16cid:durableId="184252962">
    <w:abstractNumId w:val="28"/>
  </w:num>
  <w:num w:numId="24" w16cid:durableId="549073007">
    <w:abstractNumId w:val="29"/>
  </w:num>
  <w:num w:numId="25" w16cid:durableId="1824152875">
    <w:abstractNumId w:val="5"/>
  </w:num>
  <w:num w:numId="26" w16cid:durableId="1331830277">
    <w:abstractNumId w:val="37"/>
  </w:num>
  <w:num w:numId="27" w16cid:durableId="1923950840">
    <w:abstractNumId w:val="34"/>
  </w:num>
  <w:num w:numId="28" w16cid:durableId="1228807785">
    <w:abstractNumId w:val="4"/>
  </w:num>
  <w:num w:numId="29" w16cid:durableId="1266110361">
    <w:abstractNumId w:val="36"/>
  </w:num>
  <w:num w:numId="30" w16cid:durableId="1657759480">
    <w:abstractNumId w:val="17"/>
  </w:num>
  <w:num w:numId="31" w16cid:durableId="1630748470">
    <w:abstractNumId w:val="20"/>
  </w:num>
  <w:num w:numId="32" w16cid:durableId="1130051606">
    <w:abstractNumId w:val="35"/>
  </w:num>
  <w:num w:numId="33" w16cid:durableId="1925842128">
    <w:abstractNumId w:val="27"/>
  </w:num>
  <w:num w:numId="34" w16cid:durableId="24907518">
    <w:abstractNumId w:val="30"/>
  </w:num>
  <w:num w:numId="35" w16cid:durableId="236327625">
    <w:abstractNumId w:val="21"/>
  </w:num>
  <w:num w:numId="36" w16cid:durableId="1975795830">
    <w:abstractNumId w:val="14"/>
  </w:num>
  <w:num w:numId="37" w16cid:durableId="20324170">
    <w:abstractNumId w:val="10"/>
  </w:num>
  <w:num w:numId="38" w16cid:durableId="1930310757">
    <w:abstractNumId w:val="25"/>
  </w:num>
  <w:num w:numId="39" w16cid:durableId="198055959">
    <w:abstractNumId w:val="15"/>
  </w:num>
  <w:num w:numId="40" w16cid:durableId="1584683558">
    <w:abstractNumId w:val="23"/>
  </w:num>
  <w:num w:numId="41" w16cid:durableId="772818762">
    <w:abstractNumId w:val="16"/>
  </w:num>
  <w:num w:numId="42" w16cid:durableId="95567679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4D9"/>
    <w:rsid w:val="002047E7"/>
    <w:rsid w:val="00204DE7"/>
    <w:rsid w:val="00205494"/>
    <w:rsid w:val="0020726C"/>
    <w:rsid w:val="0021018B"/>
    <w:rsid w:val="00213A9F"/>
    <w:rsid w:val="00213B06"/>
    <w:rsid w:val="00213B44"/>
    <w:rsid w:val="00213C5C"/>
    <w:rsid w:val="002150BE"/>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5995"/>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35DE"/>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6B2"/>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1D5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47F"/>
    <w:rsid w:val="00537627"/>
    <w:rsid w:val="00540A60"/>
    <w:rsid w:val="005424A3"/>
    <w:rsid w:val="005428D6"/>
    <w:rsid w:val="0054480A"/>
    <w:rsid w:val="00545849"/>
    <w:rsid w:val="00546AB2"/>
    <w:rsid w:val="00546F10"/>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C7A20"/>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446"/>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A71D9"/>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E65B4"/>
    <w:rsid w:val="006F02EB"/>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5888"/>
    <w:rsid w:val="00837527"/>
    <w:rsid w:val="00837934"/>
    <w:rsid w:val="00840483"/>
    <w:rsid w:val="00841B58"/>
    <w:rsid w:val="00842057"/>
    <w:rsid w:val="0084278D"/>
    <w:rsid w:val="00843900"/>
    <w:rsid w:val="008458BD"/>
    <w:rsid w:val="00845911"/>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4172"/>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37D7"/>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4D2D"/>
    <w:rsid w:val="009F5BFB"/>
    <w:rsid w:val="00A00A24"/>
    <w:rsid w:val="00A028E8"/>
    <w:rsid w:val="00A1113B"/>
    <w:rsid w:val="00A1115A"/>
    <w:rsid w:val="00A157C7"/>
    <w:rsid w:val="00A15DF0"/>
    <w:rsid w:val="00A17111"/>
    <w:rsid w:val="00A20EF7"/>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0EA2"/>
    <w:rsid w:val="00A71749"/>
    <w:rsid w:val="00A71ACA"/>
    <w:rsid w:val="00A7435F"/>
    <w:rsid w:val="00A776BD"/>
    <w:rsid w:val="00A777A5"/>
    <w:rsid w:val="00A77D4D"/>
    <w:rsid w:val="00A81E29"/>
    <w:rsid w:val="00A841ED"/>
    <w:rsid w:val="00A87730"/>
    <w:rsid w:val="00A907FB"/>
    <w:rsid w:val="00A90A64"/>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01BD"/>
    <w:rsid w:val="00B4136F"/>
    <w:rsid w:val="00B43CD2"/>
    <w:rsid w:val="00B449BD"/>
    <w:rsid w:val="00B47764"/>
    <w:rsid w:val="00B47D4A"/>
    <w:rsid w:val="00B50D7E"/>
    <w:rsid w:val="00B602A7"/>
    <w:rsid w:val="00B60308"/>
    <w:rsid w:val="00B638C8"/>
    <w:rsid w:val="00B647B5"/>
    <w:rsid w:val="00B651A9"/>
    <w:rsid w:val="00B65D86"/>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75B8"/>
    <w:rsid w:val="00C21902"/>
    <w:rsid w:val="00C21E9B"/>
    <w:rsid w:val="00C22EEB"/>
    <w:rsid w:val="00C238E4"/>
    <w:rsid w:val="00C24791"/>
    <w:rsid w:val="00C269FD"/>
    <w:rsid w:val="00C26FE0"/>
    <w:rsid w:val="00C30E33"/>
    <w:rsid w:val="00C3261F"/>
    <w:rsid w:val="00C333B6"/>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4CB9"/>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E48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5DF4"/>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1700</Words>
  <Characters>9351</Characters>
  <Application>Microsoft Office Word</Application>
  <DocSecurity>0</DocSecurity>
  <Lines>77</Lines>
  <Paragraphs>22</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2026-04-01T16:38:00Z</dcterms:created>
  <dcterms:modified xsi:type="dcterms:W3CDTF">2026-04-01T16:45:00Z</dcterms:modified>
</cp:coreProperties>
</file>